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EE7" w:rsidRDefault="00A46EE7" w:rsidP="00A46EE7">
      <w:pPr>
        <w:spacing w:line="240" w:lineRule="auto"/>
        <w:rPr>
          <w:rFonts w:ascii="Arial" w:hAnsi="Arial" w:cs="Arial"/>
          <w:b/>
          <w:lang w:eastAsia="zh-CN"/>
        </w:rPr>
      </w:pPr>
      <w:r w:rsidRPr="00EA67DA">
        <w:rPr>
          <w:rFonts w:ascii="Arial" w:hAnsi="Arial" w:cs="Arial"/>
          <w:b/>
        </w:rPr>
        <w:t>Annex</w:t>
      </w:r>
      <w:r>
        <w:rPr>
          <w:rFonts w:ascii="Arial" w:hAnsi="Arial" w:cs="Arial" w:hint="eastAsia"/>
          <w:b/>
          <w:lang w:eastAsia="zh-CN"/>
        </w:rPr>
        <w:t xml:space="preserve"> 1                    </w:t>
      </w:r>
    </w:p>
    <w:p w:rsidR="00A46EE7" w:rsidRDefault="00A46EE7" w:rsidP="00A46EE7">
      <w:pPr>
        <w:spacing w:line="240" w:lineRule="auto"/>
        <w:jc w:val="center"/>
        <w:rPr>
          <w:rFonts w:ascii="Arial" w:hAnsi="Arial" w:cs="Arial"/>
          <w:b/>
        </w:rPr>
      </w:pPr>
      <w:r w:rsidRPr="00EA67DA">
        <w:rPr>
          <w:rFonts w:ascii="Arial" w:hAnsi="Arial" w:cs="Arial"/>
          <w:b/>
        </w:rPr>
        <w:t>Additional guidance for Chinese applicants</w:t>
      </w:r>
    </w:p>
    <w:tbl>
      <w:tblPr>
        <w:tblStyle w:val="a6"/>
        <w:tblW w:w="0" w:type="auto"/>
        <w:tblLook w:val="04A0" w:firstRow="1" w:lastRow="0" w:firstColumn="1" w:lastColumn="0" w:noHBand="0" w:noVBand="1"/>
      </w:tblPr>
      <w:tblGrid>
        <w:gridCol w:w="2220"/>
        <w:gridCol w:w="6302"/>
      </w:tblGrid>
      <w:tr w:rsidR="00A46EE7" w:rsidRPr="00EA67DA" w:rsidTr="003813D9">
        <w:tc>
          <w:tcPr>
            <w:tcW w:w="2376" w:type="dxa"/>
          </w:tcPr>
          <w:p w:rsidR="00A46EE7" w:rsidRPr="00EA67DA" w:rsidRDefault="00A46EE7" w:rsidP="003813D9">
            <w:pPr>
              <w:jc w:val="both"/>
              <w:rPr>
                <w:rFonts w:ascii="Arial" w:hAnsi="Arial" w:cs="Arial"/>
                <w:b/>
                <w:sz w:val="21"/>
                <w:szCs w:val="21"/>
              </w:rPr>
            </w:pPr>
            <w:r w:rsidRPr="00EA67DA">
              <w:rPr>
                <w:rFonts w:ascii="Arial" w:hAnsi="Arial" w:cs="Arial"/>
                <w:b/>
                <w:sz w:val="21"/>
                <w:szCs w:val="21"/>
              </w:rPr>
              <w:t>Funding Agency</w:t>
            </w:r>
          </w:p>
        </w:tc>
        <w:tc>
          <w:tcPr>
            <w:tcW w:w="6866" w:type="dxa"/>
          </w:tcPr>
          <w:p w:rsidR="00A46EE7" w:rsidRPr="00EA67DA" w:rsidRDefault="00A46EE7" w:rsidP="003813D9">
            <w:pPr>
              <w:jc w:val="both"/>
              <w:rPr>
                <w:rFonts w:ascii="Arial" w:hAnsi="Arial" w:cs="Arial"/>
                <w:sz w:val="21"/>
                <w:szCs w:val="21"/>
              </w:rPr>
            </w:pPr>
            <w:r w:rsidRPr="00EA67DA">
              <w:rPr>
                <w:rFonts w:ascii="Arial" w:hAnsi="Arial" w:cs="Arial"/>
                <w:sz w:val="21"/>
                <w:szCs w:val="21"/>
              </w:rPr>
              <w:t>National Natural Science Foundation of China (NSFC)</w:t>
            </w:r>
          </w:p>
        </w:tc>
      </w:tr>
      <w:tr w:rsidR="00A46EE7" w:rsidRPr="00EA67DA" w:rsidTr="003813D9">
        <w:tc>
          <w:tcPr>
            <w:tcW w:w="2376" w:type="dxa"/>
          </w:tcPr>
          <w:p w:rsidR="00A46EE7" w:rsidRPr="00EA67DA" w:rsidRDefault="00A46EE7" w:rsidP="003813D9">
            <w:pPr>
              <w:jc w:val="both"/>
              <w:rPr>
                <w:rFonts w:ascii="Arial" w:hAnsi="Arial" w:cs="Arial"/>
                <w:b/>
                <w:sz w:val="21"/>
                <w:szCs w:val="21"/>
              </w:rPr>
            </w:pPr>
            <w:r w:rsidRPr="00EA67DA">
              <w:rPr>
                <w:rFonts w:ascii="Arial" w:hAnsi="Arial" w:cs="Arial"/>
                <w:b/>
                <w:sz w:val="21"/>
                <w:szCs w:val="21"/>
              </w:rPr>
              <w:t>Eligibility</w:t>
            </w:r>
          </w:p>
        </w:tc>
        <w:tc>
          <w:tcPr>
            <w:tcW w:w="6866" w:type="dxa"/>
          </w:tcPr>
          <w:p w:rsidR="00A46EE7" w:rsidRPr="00EA67DA" w:rsidRDefault="00A46EE7" w:rsidP="003813D9">
            <w:pPr>
              <w:jc w:val="both"/>
              <w:rPr>
                <w:rFonts w:ascii="Arial" w:hAnsi="Arial" w:cs="Arial"/>
                <w:sz w:val="21"/>
                <w:szCs w:val="21"/>
              </w:rPr>
            </w:pPr>
            <w:r w:rsidRPr="00EA67DA">
              <w:rPr>
                <w:rFonts w:ascii="Arial" w:hAnsi="Arial" w:cs="Arial"/>
                <w:sz w:val="21"/>
                <w:szCs w:val="21"/>
              </w:rPr>
              <w:t>Standard NSFC eligibility conditions apply to this call.</w:t>
            </w:r>
          </w:p>
          <w:p w:rsidR="00A46EE7" w:rsidRPr="00EA67DA" w:rsidRDefault="00A46EE7" w:rsidP="00A46EE7">
            <w:pPr>
              <w:numPr>
                <w:ilvl w:val="0"/>
                <w:numId w:val="4"/>
              </w:numPr>
              <w:spacing w:after="0" w:line="240" w:lineRule="auto"/>
              <w:contextualSpacing/>
              <w:rPr>
                <w:rFonts w:ascii="Arial" w:eastAsiaTheme="majorEastAsia" w:hAnsi="Arial" w:cs="Arial"/>
                <w:bCs/>
                <w:sz w:val="21"/>
                <w:szCs w:val="21"/>
              </w:rPr>
            </w:pPr>
            <w:r w:rsidRPr="00EA67DA">
              <w:rPr>
                <w:rFonts w:ascii="Arial" w:eastAsiaTheme="majorEastAsia" w:hAnsi="Arial" w:cs="Arial"/>
                <w:bCs/>
                <w:sz w:val="21"/>
                <w:szCs w:val="21"/>
              </w:rPr>
              <w:t>Have a senior academic rank (title)</w:t>
            </w:r>
          </w:p>
          <w:p w:rsidR="00A46EE7" w:rsidRPr="00EA67DA" w:rsidRDefault="00A46EE7" w:rsidP="00A46EE7">
            <w:pPr>
              <w:numPr>
                <w:ilvl w:val="0"/>
                <w:numId w:val="4"/>
              </w:numPr>
              <w:spacing w:after="0" w:line="240" w:lineRule="auto"/>
              <w:contextualSpacing/>
              <w:rPr>
                <w:rFonts w:ascii="Arial" w:eastAsiaTheme="majorEastAsia" w:hAnsi="Arial" w:cs="Arial"/>
                <w:bCs/>
                <w:sz w:val="21"/>
                <w:szCs w:val="21"/>
              </w:rPr>
            </w:pPr>
            <w:r w:rsidRPr="00EA67DA">
              <w:rPr>
                <w:rFonts w:ascii="Arial" w:eastAsiaTheme="majorEastAsia" w:hAnsi="Arial" w:cs="Arial"/>
                <w:bCs/>
                <w:sz w:val="21"/>
                <w:szCs w:val="21"/>
              </w:rPr>
              <w:t>Have/had been the Principle Investigator of on-going or completed NSFC research project with the duration of no less than 3 years</w:t>
            </w:r>
          </w:p>
          <w:p w:rsidR="00A46EE7" w:rsidRPr="00EA67DA" w:rsidRDefault="00A46EE7" w:rsidP="00A46EE7">
            <w:pPr>
              <w:numPr>
                <w:ilvl w:val="0"/>
                <w:numId w:val="4"/>
              </w:numPr>
              <w:spacing w:after="0" w:line="240" w:lineRule="auto"/>
              <w:contextualSpacing/>
              <w:rPr>
                <w:rFonts w:ascii="Arial" w:eastAsiaTheme="majorEastAsia" w:hAnsi="Arial" w:cs="Arial"/>
                <w:bCs/>
                <w:sz w:val="21"/>
                <w:szCs w:val="21"/>
              </w:rPr>
            </w:pPr>
            <w:r w:rsidRPr="00EA67DA">
              <w:rPr>
                <w:rFonts w:ascii="Arial" w:eastAsiaTheme="majorEastAsia" w:hAnsi="Arial" w:cs="Arial"/>
                <w:bCs/>
                <w:sz w:val="21"/>
                <w:szCs w:val="21"/>
              </w:rPr>
              <w:t xml:space="preserve">One application per year: Applicants (as the Principle Investigator) shall only apply for one International (Regional) Joint Research Program in a year. </w:t>
            </w:r>
          </w:p>
          <w:p w:rsidR="00A46EE7" w:rsidRPr="005B4C89" w:rsidRDefault="00A46EE7" w:rsidP="00A46EE7">
            <w:pPr>
              <w:numPr>
                <w:ilvl w:val="0"/>
                <w:numId w:val="4"/>
              </w:numPr>
              <w:autoSpaceDE w:val="0"/>
              <w:autoSpaceDN w:val="0"/>
              <w:adjustRightInd w:val="0"/>
              <w:spacing w:after="0" w:line="240" w:lineRule="auto"/>
              <w:contextualSpacing/>
              <w:rPr>
                <w:rFonts w:ascii="Arial" w:eastAsiaTheme="majorEastAsia" w:hAnsi="Arial" w:cs="Arial"/>
                <w:bCs/>
                <w:sz w:val="21"/>
                <w:szCs w:val="21"/>
              </w:rPr>
            </w:pPr>
            <w:r w:rsidRPr="00EA67DA">
              <w:rPr>
                <w:rFonts w:ascii="Arial" w:eastAsiaTheme="majorEastAsia" w:hAnsi="Arial" w:cs="Arial"/>
                <w:bCs/>
                <w:sz w:val="21"/>
                <w:szCs w:val="21"/>
              </w:rPr>
              <w:t>Principle Investigator of a running NSFC-funded international joint research project shall not apply for one new international joint research project.</w:t>
            </w:r>
          </w:p>
          <w:p w:rsidR="00A46EE7" w:rsidRPr="00EA67DA" w:rsidRDefault="00A46EE7" w:rsidP="00A46EE7">
            <w:pPr>
              <w:numPr>
                <w:ilvl w:val="0"/>
                <w:numId w:val="4"/>
              </w:numPr>
              <w:spacing w:after="0" w:line="240" w:lineRule="auto"/>
              <w:contextualSpacing/>
              <w:rPr>
                <w:rFonts w:ascii="Arial" w:eastAsiaTheme="majorEastAsia" w:hAnsi="Arial" w:cs="Arial"/>
                <w:bCs/>
                <w:sz w:val="21"/>
                <w:szCs w:val="21"/>
              </w:rPr>
            </w:pPr>
            <w:r w:rsidRPr="00EA67DA">
              <w:rPr>
                <w:rFonts w:ascii="Arial" w:eastAsiaTheme="majorEastAsia" w:hAnsi="Arial" w:cs="Arial"/>
                <w:bCs/>
                <w:sz w:val="21"/>
                <w:szCs w:val="21"/>
              </w:rPr>
              <w:t>Have a supporting institution: The Chinese applicant should submit the application through the supporting institution</w:t>
            </w:r>
          </w:p>
          <w:p w:rsidR="00A46EE7" w:rsidRDefault="00A46EE7" w:rsidP="00A46EE7">
            <w:pPr>
              <w:pStyle w:val="a5"/>
              <w:numPr>
                <w:ilvl w:val="0"/>
                <w:numId w:val="4"/>
              </w:numPr>
              <w:spacing w:after="0" w:line="240" w:lineRule="auto"/>
              <w:jc w:val="both"/>
              <w:rPr>
                <w:rFonts w:ascii="Arial" w:hAnsi="Arial" w:cs="Arial"/>
                <w:b/>
                <w:bCs/>
                <w:sz w:val="21"/>
                <w:szCs w:val="21"/>
              </w:rPr>
            </w:pPr>
            <w:r w:rsidRPr="00EA67DA">
              <w:rPr>
                <w:rFonts w:ascii="Arial" w:hAnsi="Arial" w:cs="Arial"/>
                <w:sz w:val="21"/>
                <w:szCs w:val="21"/>
              </w:rPr>
              <w:t>Other restrictions in the 2020 Guide to Program</w:t>
            </w:r>
          </w:p>
        </w:tc>
      </w:tr>
      <w:tr w:rsidR="00A46EE7" w:rsidRPr="00EA67DA" w:rsidTr="003813D9">
        <w:trPr>
          <w:trHeight w:val="806"/>
        </w:trPr>
        <w:tc>
          <w:tcPr>
            <w:tcW w:w="2376" w:type="dxa"/>
          </w:tcPr>
          <w:p w:rsidR="00A46EE7" w:rsidRPr="00EA67DA" w:rsidRDefault="00A46EE7" w:rsidP="003813D9">
            <w:pPr>
              <w:jc w:val="both"/>
              <w:rPr>
                <w:rFonts w:ascii="Arial" w:hAnsi="Arial" w:cs="Arial"/>
                <w:b/>
                <w:sz w:val="21"/>
                <w:szCs w:val="21"/>
              </w:rPr>
            </w:pPr>
            <w:r w:rsidRPr="00EA67DA">
              <w:rPr>
                <w:rFonts w:ascii="Arial" w:hAnsi="Arial" w:cs="Arial"/>
                <w:b/>
                <w:sz w:val="21"/>
                <w:szCs w:val="21"/>
              </w:rPr>
              <w:t>Budget</w:t>
            </w:r>
          </w:p>
        </w:tc>
        <w:tc>
          <w:tcPr>
            <w:tcW w:w="6866" w:type="dxa"/>
          </w:tcPr>
          <w:p w:rsidR="00A46EE7" w:rsidRPr="00CE5245" w:rsidRDefault="00A46EE7" w:rsidP="003813D9">
            <w:pPr>
              <w:jc w:val="both"/>
              <w:rPr>
                <w:rFonts w:ascii="Arial" w:hAnsi="Arial" w:cs="Arial"/>
                <w:sz w:val="21"/>
                <w:szCs w:val="21"/>
              </w:rPr>
            </w:pPr>
            <w:r w:rsidRPr="00AC158F">
              <w:rPr>
                <w:rFonts w:ascii="Arial" w:hAnsi="Arial" w:cs="Arial"/>
                <w:lang w:eastAsia="zh-CN"/>
              </w:rPr>
              <w:t>Chinese partners that are eligible for funding can receive up</w:t>
            </w:r>
            <w:r w:rsidRPr="00AC158F">
              <w:rPr>
                <w:rFonts w:ascii="Arial" w:hAnsi="Arial" w:cs="Arial"/>
              </w:rPr>
              <w:t xml:space="preserve"> to </w:t>
            </w:r>
            <w:r w:rsidRPr="00AC158F">
              <w:rPr>
                <w:rFonts w:ascii="Arial" w:hAnsi="Arial" w:cs="Arial" w:hint="eastAsia"/>
                <w:lang w:eastAsia="zh-CN"/>
              </w:rPr>
              <w:t>￥</w:t>
            </w:r>
            <w:r w:rsidRPr="00AC158F">
              <w:rPr>
                <w:rFonts w:ascii="Arial" w:hAnsi="Arial" w:cs="Arial" w:hint="eastAsia"/>
                <w:lang w:eastAsia="zh-CN"/>
              </w:rPr>
              <w:t>1.5 million</w:t>
            </w:r>
            <w:r w:rsidRPr="00AC158F">
              <w:rPr>
                <w:rFonts w:ascii="Arial" w:hAnsi="Arial" w:cs="Arial"/>
                <w:lang w:eastAsia="zh-CN"/>
              </w:rPr>
              <w:t xml:space="preserve"> for projects of 24 months. NSFC-funded costs of each grant will be issued and managed by NSFC according to its funding guidelines and procedures.</w:t>
            </w:r>
          </w:p>
        </w:tc>
      </w:tr>
      <w:tr w:rsidR="00A46EE7" w:rsidRPr="00EA67DA" w:rsidTr="003813D9">
        <w:trPr>
          <w:trHeight w:val="1124"/>
        </w:trPr>
        <w:tc>
          <w:tcPr>
            <w:tcW w:w="2376" w:type="dxa"/>
          </w:tcPr>
          <w:p w:rsidR="00A46EE7" w:rsidRPr="00EA67DA" w:rsidRDefault="00A46EE7" w:rsidP="003813D9">
            <w:pPr>
              <w:jc w:val="both"/>
              <w:rPr>
                <w:rFonts w:ascii="Arial" w:hAnsi="Arial" w:cs="Arial"/>
                <w:b/>
                <w:sz w:val="21"/>
                <w:szCs w:val="21"/>
              </w:rPr>
            </w:pPr>
            <w:r w:rsidRPr="00EA67DA">
              <w:rPr>
                <w:rFonts w:ascii="Arial" w:hAnsi="Arial" w:cs="Arial"/>
                <w:b/>
                <w:sz w:val="21"/>
                <w:szCs w:val="21"/>
              </w:rPr>
              <w:t>Eligible costs</w:t>
            </w:r>
          </w:p>
        </w:tc>
        <w:tc>
          <w:tcPr>
            <w:tcW w:w="6866" w:type="dxa"/>
          </w:tcPr>
          <w:p w:rsidR="00A46EE7" w:rsidRPr="00EA67DA" w:rsidRDefault="00A46EE7" w:rsidP="003813D9">
            <w:pPr>
              <w:jc w:val="both"/>
              <w:rPr>
                <w:rFonts w:ascii="Arial" w:hAnsi="Arial" w:cs="Arial"/>
                <w:sz w:val="21"/>
                <w:szCs w:val="21"/>
              </w:rPr>
            </w:pPr>
            <w:r w:rsidRPr="00EA67DA">
              <w:rPr>
                <w:rFonts w:ascii="Arial" w:hAnsi="Arial" w:cs="Arial"/>
                <w:sz w:val="21"/>
                <w:szCs w:val="21"/>
              </w:rPr>
              <w:t>It is expected that applications to this call will be International (Regional) Joint Research Projects as defined in the call notice, and NSFC will fund the Chinese component(s) of any successful bilateral or transnational collaboration.</w:t>
            </w:r>
            <w:r>
              <w:rPr>
                <w:rFonts w:ascii="Arial" w:hAnsi="Arial" w:cs="Arial" w:hint="eastAsia"/>
                <w:sz w:val="21"/>
                <w:szCs w:val="21"/>
                <w:lang w:eastAsia="zh-CN"/>
              </w:rPr>
              <w:t xml:space="preserve"> </w:t>
            </w:r>
            <w:r w:rsidRPr="00EA67DA">
              <w:rPr>
                <w:rFonts w:ascii="Arial" w:hAnsi="Arial" w:cs="Arial"/>
                <w:sz w:val="21"/>
                <w:szCs w:val="21"/>
              </w:rPr>
              <w:t>The eligible costs are as follows:</w:t>
            </w:r>
          </w:p>
          <w:p w:rsidR="00A46EE7" w:rsidRPr="00EA67DA" w:rsidRDefault="00A46EE7" w:rsidP="00A46EE7">
            <w:pPr>
              <w:pStyle w:val="a5"/>
              <w:numPr>
                <w:ilvl w:val="0"/>
                <w:numId w:val="2"/>
              </w:numPr>
              <w:spacing w:after="0" w:line="240" w:lineRule="auto"/>
              <w:jc w:val="both"/>
              <w:rPr>
                <w:rFonts w:ascii="Arial" w:hAnsi="Arial" w:cs="Arial"/>
                <w:sz w:val="21"/>
                <w:szCs w:val="21"/>
              </w:rPr>
            </w:pPr>
            <w:r w:rsidRPr="00EA67DA">
              <w:rPr>
                <w:rFonts w:ascii="Arial" w:hAnsi="Arial" w:cs="Arial"/>
                <w:sz w:val="21"/>
                <w:szCs w:val="21"/>
              </w:rPr>
              <w:t>Equipment</w:t>
            </w:r>
          </w:p>
          <w:p w:rsidR="00A46EE7" w:rsidRPr="00EA67DA" w:rsidRDefault="00A46EE7" w:rsidP="00A46EE7">
            <w:pPr>
              <w:pStyle w:val="a5"/>
              <w:numPr>
                <w:ilvl w:val="1"/>
                <w:numId w:val="3"/>
              </w:numPr>
              <w:spacing w:after="0" w:line="240" w:lineRule="auto"/>
              <w:jc w:val="both"/>
              <w:rPr>
                <w:rFonts w:ascii="Arial" w:hAnsi="Arial" w:cs="Arial"/>
                <w:sz w:val="21"/>
                <w:szCs w:val="21"/>
              </w:rPr>
            </w:pPr>
            <w:r w:rsidRPr="00EA67DA">
              <w:rPr>
                <w:rFonts w:ascii="Arial" w:hAnsi="Arial" w:cs="Arial"/>
                <w:sz w:val="21"/>
                <w:szCs w:val="21"/>
              </w:rPr>
              <w:t>Purchase</w:t>
            </w:r>
          </w:p>
          <w:p w:rsidR="00A46EE7" w:rsidRPr="00EA67DA" w:rsidRDefault="00A46EE7" w:rsidP="00A46EE7">
            <w:pPr>
              <w:pStyle w:val="a5"/>
              <w:numPr>
                <w:ilvl w:val="1"/>
                <w:numId w:val="3"/>
              </w:numPr>
              <w:spacing w:after="0" w:line="240" w:lineRule="auto"/>
              <w:jc w:val="both"/>
              <w:rPr>
                <w:rFonts w:ascii="Arial" w:hAnsi="Arial" w:cs="Arial"/>
                <w:sz w:val="21"/>
                <w:szCs w:val="21"/>
              </w:rPr>
            </w:pPr>
            <w:r w:rsidRPr="00EA67DA">
              <w:rPr>
                <w:rFonts w:ascii="Arial" w:hAnsi="Arial" w:cs="Arial"/>
                <w:sz w:val="21"/>
                <w:szCs w:val="21"/>
              </w:rPr>
              <w:t>Trial</w:t>
            </w:r>
          </w:p>
          <w:p w:rsidR="00A46EE7" w:rsidRPr="00EA67DA" w:rsidRDefault="00A46EE7" w:rsidP="00A46EE7">
            <w:pPr>
              <w:pStyle w:val="a5"/>
              <w:numPr>
                <w:ilvl w:val="1"/>
                <w:numId w:val="3"/>
              </w:numPr>
              <w:spacing w:after="0" w:line="240" w:lineRule="auto"/>
              <w:jc w:val="both"/>
              <w:rPr>
                <w:rFonts w:ascii="Arial" w:hAnsi="Arial" w:cs="Arial"/>
                <w:sz w:val="21"/>
                <w:szCs w:val="21"/>
              </w:rPr>
            </w:pPr>
            <w:r w:rsidRPr="00EA67DA">
              <w:rPr>
                <w:rFonts w:ascii="Arial" w:hAnsi="Arial" w:cs="Arial"/>
                <w:sz w:val="21"/>
                <w:szCs w:val="21"/>
              </w:rPr>
              <w:t>Modification and rental</w:t>
            </w:r>
          </w:p>
          <w:p w:rsidR="00A46EE7" w:rsidRPr="00EA67DA" w:rsidRDefault="00A46EE7" w:rsidP="00A46EE7">
            <w:pPr>
              <w:pStyle w:val="a5"/>
              <w:numPr>
                <w:ilvl w:val="0"/>
                <w:numId w:val="2"/>
              </w:numPr>
              <w:spacing w:after="0" w:line="240" w:lineRule="auto"/>
              <w:jc w:val="both"/>
              <w:rPr>
                <w:rFonts w:ascii="Arial" w:hAnsi="Arial" w:cs="Arial"/>
                <w:sz w:val="21"/>
                <w:szCs w:val="21"/>
              </w:rPr>
            </w:pPr>
            <w:r w:rsidRPr="00EA67DA">
              <w:rPr>
                <w:rFonts w:ascii="Arial" w:hAnsi="Arial" w:cs="Arial"/>
                <w:sz w:val="21"/>
                <w:szCs w:val="21"/>
              </w:rPr>
              <w:t>Materials and supplies</w:t>
            </w:r>
          </w:p>
          <w:p w:rsidR="00A46EE7" w:rsidRPr="00EA67DA" w:rsidRDefault="00A46EE7" w:rsidP="00A46EE7">
            <w:pPr>
              <w:pStyle w:val="a5"/>
              <w:numPr>
                <w:ilvl w:val="0"/>
                <w:numId w:val="2"/>
              </w:numPr>
              <w:spacing w:after="0" w:line="240" w:lineRule="auto"/>
              <w:jc w:val="both"/>
              <w:rPr>
                <w:rFonts w:ascii="Arial" w:hAnsi="Arial" w:cs="Arial"/>
                <w:sz w:val="21"/>
                <w:szCs w:val="21"/>
              </w:rPr>
            </w:pPr>
            <w:r w:rsidRPr="00EA67DA">
              <w:rPr>
                <w:rFonts w:ascii="Arial" w:hAnsi="Arial" w:cs="Arial"/>
                <w:sz w:val="21"/>
                <w:szCs w:val="21"/>
              </w:rPr>
              <w:t>Test/calculation/analysis</w:t>
            </w:r>
          </w:p>
          <w:p w:rsidR="00A46EE7" w:rsidRPr="00EA67DA" w:rsidRDefault="00A46EE7" w:rsidP="00A46EE7">
            <w:pPr>
              <w:pStyle w:val="a5"/>
              <w:numPr>
                <w:ilvl w:val="0"/>
                <w:numId w:val="2"/>
              </w:numPr>
              <w:spacing w:after="0" w:line="240" w:lineRule="auto"/>
              <w:jc w:val="both"/>
              <w:rPr>
                <w:rFonts w:ascii="Arial" w:hAnsi="Arial" w:cs="Arial"/>
                <w:sz w:val="21"/>
                <w:szCs w:val="21"/>
              </w:rPr>
            </w:pPr>
            <w:r w:rsidRPr="00EA67DA">
              <w:rPr>
                <w:rFonts w:ascii="Arial" w:hAnsi="Arial" w:cs="Arial"/>
                <w:sz w:val="21"/>
                <w:szCs w:val="21"/>
              </w:rPr>
              <w:t>Power consumption</w:t>
            </w:r>
          </w:p>
          <w:p w:rsidR="00A46EE7" w:rsidRPr="00EA67DA" w:rsidRDefault="00A46EE7" w:rsidP="00A46EE7">
            <w:pPr>
              <w:pStyle w:val="a5"/>
              <w:numPr>
                <w:ilvl w:val="0"/>
                <w:numId w:val="2"/>
              </w:numPr>
              <w:spacing w:after="0" w:line="240" w:lineRule="auto"/>
              <w:jc w:val="both"/>
              <w:rPr>
                <w:rFonts w:ascii="Arial" w:hAnsi="Arial" w:cs="Arial"/>
                <w:sz w:val="21"/>
                <w:szCs w:val="21"/>
              </w:rPr>
            </w:pPr>
            <w:r w:rsidRPr="00EA67DA">
              <w:rPr>
                <w:rFonts w:ascii="Arial" w:hAnsi="Arial" w:cs="Arial"/>
                <w:sz w:val="21"/>
                <w:szCs w:val="21"/>
              </w:rPr>
              <w:t>Travel/ Conference/ International cooperation</w:t>
            </w:r>
          </w:p>
          <w:p w:rsidR="00A46EE7" w:rsidRPr="00EA67DA" w:rsidRDefault="00A46EE7" w:rsidP="00A46EE7">
            <w:pPr>
              <w:pStyle w:val="a5"/>
              <w:numPr>
                <w:ilvl w:val="0"/>
                <w:numId w:val="2"/>
              </w:numPr>
              <w:spacing w:after="0" w:line="240" w:lineRule="auto"/>
              <w:jc w:val="both"/>
              <w:rPr>
                <w:rFonts w:ascii="Arial" w:hAnsi="Arial" w:cs="Arial"/>
                <w:sz w:val="21"/>
                <w:szCs w:val="21"/>
              </w:rPr>
            </w:pPr>
            <w:r w:rsidRPr="00EA67DA">
              <w:rPr>
                <w:rFonts w:ascii="Arial" w:hAnsi="Arial" w:cs="Arial"/>
                <w:sz w:val="21"/>
                <w:szCs w:val="21"/>
                <w:lang w:eastAsia="zh-CN"/>
              </w:rPr>
              <w:t>p</w:t>
            </w:r>
            <w:r w:rsidRPr="00EA67DA">
              <w:rPr>
                <w:rFonts w:ascii="Arial" w:hAnsi="Arial" w:cs="Arial"/>
                <w:sz w:val="21"/>
                <w:szCs w:val="21"/>
              </w:rPr>
              <w:t>ublication/Reference/ Dissemination of info/Intellectual Property</w:t>
            </w:r>
          </w:p>
          <w:p w:rsidR="00A46EE7" w:rsidRPr="00EA67DA" w:rsidRDefault="00A46EE7" w:rsidP="00A46EE7">
            <w:pPr>
              <w:pStyle w:val="a5"/>
              <w:numPr>
                <w:ilvl w:val="0"/>
                <w:numId w:val="2"/>
              </w:numPr>
              <w:spacing w:after="0" w:line="240" w:lineRule="auto"/>
              <w:jc w:val="both"/>
              <w:rPr>
                <w:rFonts w:ascii="Arial" w:hAnsi="Arial" w:cs="Arial"/>
                <w:sz w:val="21"/>
                <w:szCs w:val="21"/>
              </w:rPr>
            </w:pPr>
            <w:r w:rsidRPr="00EA67DA">
              <w:rPr>
                <w:rFonts w:ascii="Arial" w:hAnsi="Arial" w:cs="Arial"/>
                <w:sz w:val="21"/>
                <w:szCs w:val="21"/>
              </w:rPr>
              <w:t>Labour Cost</w:t>
            </w:r>
          </w:p>
          <w:p w:rsidR="00A46EE7" w:rsidRPr="00EA67DA" w:rsidRDefault="00A46EE7" w:rsidP="00A46EE7">
            <w:pPr>
              <w:pStyle w:val="a5"/>
              <w:numPr>
                <w:ilvl w:val="0"/>
                <w:numId w:val="2"/>
              </w:numPr>
              <w:spacing w:after="0" w:line="240" w:lineRule="auto"/>
              <w:jc w:val="both"/>
              <w:rPr>
                <w:rFonts w:ascii="Arial" w:hAnsi="Arial" w:cs="Arial"/>
                <w:sz w:val="21"/>
                <w:szCs w:val="21"/>
              </w:rPr>
            </w:pPr>
            <w:r w:rsidRPr="00EA67DA">
              <w:rPr>
                <w:rFonts w:ascii="Arial" w:hAnsi="Arial" w:cs="Arial"/>
                <w:sz w:val="21"/>
                <w:szCs w:val="21"/>
              </w:rPr>
              <w:t>Consulting</w:t>
            </w:r>
          </w:p>
          <w:p w:rsidR="00A46EE7" w:rsidRPr="00EA67DA" w:rsidRDefault="00A46EE7" w:rsidP="00A46EE7">
            <w:pPr>
              <w:pStyle w:val="a5"/>
              <w:numPr>
                <w:ilvl w:val="0"/>
                <w:numId w:val="2"/>
              </w:numPr>
              <w:spacing w:after="0" w:line="240" w:lineRule="auto"/>
              <w:jc w:val="both"/>
              <w:rPr>
                <w:rFonts w:ascii="Arial" w:hAnsi="Arial" w:cs="Arial"/>
                <w:sz w:val="21"/>
                <w:szCs w:val="21"/>
              </w:rPr>
            </w:pPr>
            <w:r w:rsidRPr="00EA67DA">
              <w:rPr>
                <w:rFonts w:ascii="Arial" w:hAnsi="Arial" w:cs="Arial"/>
                <w:sz w:val="21"/>
                <w:szCs w:val="21"/>
              </w:rPr>
              <w:lastRenderedPageBreak/>
              <w:t>Miscellaneous</w:t>
            </w:r>
          </w:p>
        </w:tc>
      </w:tr>
      <w:tr w:rsidR="00A46EE7" w:rsidRPr="00CE6BBC" w:rsidTr="003813D9">
        <w:tc>
          <w:tcPr>
            <w:tcW w:w="2376" w:type="dxa"/>
          </w:tcPr>
          <w:p w:rsidR="00A46EE7" w:rsidRPr="00EA67DA" w:rsidRDefault="00A46EE7" w:rsidP="003813D9">
            <w:pPr>
              <w:jc w:val="both"/>
              <w:rPr>
                <w:rFonts w:ascii="Arial" w:hAnsi="Arial" w:cs="Arial"/>
                <w:b/>
                <w:sz w:val="21"/>
                <w:szCs w:val="21"/>
              </w:rPr>
            </w:pPr>
            <w:r w:rsidRPr="00EA67DA">
              <w:rPr>
                <w:rFonts w:ascii="Arial" w:hAnsi="Arial" w:cs="Arial"/>
                <w:b/>
                <w:sz w:val="21"/>
                <w:szCs w:val="21"/>
              </w:rPr>
              <w:lastRenderedPageBreak/>
              <w:t>Documents required</w:t>
            </w:r>
          </w:p>
        </w:tc>
        <w:tc>
          <w:tcPr>
            <w:tcW w:w="6866" w:type="dxa"/>
          </w:tcPr>
          <w:p w:rsidR="00A46EE7" w:rsidRPr="00EA67DA" w:rsidRDefault="00A46EE7" w:rsidP="003813D9">
            <w:pPr>
              <w:jc w:val="both"/>
              <w:rPr>
                <w:rFonts w:ascii="Arial" w:hAnsi="Arial" w:cs="Arial"/>
                <w:sz w:val="21"/>
                <w:szCs w:val="21"/>
              </w:rPr>
            </w:pPr>
            <w:r>
              <w:rPr>
                <w:rFonts w:ascii="Arial" w:hAnsi="Arial" w:cs="Arial"/>
                <w:sz w:val="21"/>
                <w:szCs w:val="21"/>
                <w:lang w:eastAsia="zh-CN"/>
              </w:rPr>
              <w:t>T</w:t>
            </w:r>
            <w:r>
              <w:rPr>
                <w:rFonts w:ascii="Arial" w:hAnsi="Arial" w:cs="Arial" w:hint="eastAsia"/>
                <w:sz w:val="21"/>
                <w:szCs w:val="21"/>
                <w:lang w:eastAsia="zh-CN"/>
              </w:rPr>
              <w:t xml:space="preserve">he </w:t>
            </w:r>
            <w:r w:rsidRPr="00CE6BBC">
              <w:rPr>
                <w:rFonts w:ascii="Arial" w:hAnsi="Arial" w:cs="Arial"/>
                <w:sz w:val="21"/>
                <w:szCs w:val="21"/>
              </w:rPr>
              <w:t>Chinese PI must apply using NSFC’s ISISN system (http://isisn.nsfc.gov.cn/egrantweb/</w:t>
            </w:r>
            <w:proofErr w:type="gramStart"/>
            <w:r w:rsidRPr="00CE6BBC">
              <w:rPr>
                <w:rFonts w:ascii="Arial" w:hAnsi="Arial" w:cs="Arial"/>
                <w:sz w:val="21"/>
                <w:szCs w:val="21"/>
              </w:rPr>
              <w:t>)  by</w:t>
            </w:r>
            <w:proofErr w:type="gramEnd"/>
            <w:r w:rsidRPr="00CE6BBC">
              <w:rPr>
                <w:rFonts w:ascii="Arial" w:hAnsi="Arial" w:cs="Arial"/>
                <w:sz w:val="21"/>
                <w:szCs w:val="21"/>
              </w:rPr>
              <w:t xml:space="preserve"> completing a standard NSFC grant application</w:t>
            </w:r>
            <w:r>
              <w:rPr>
                <w:rFonts w:ascii="Arial" w:hAnsi="Arial" w:cs="Arial" w:hint="eastAsia"/>
                <w:sz w:val="21"/>
                <w:szCs w:val="21"/>
                <w:lang w:eastAsia="zh-CN"/>
              </w:rPr>
              <w:t>.</w:t>
            </w:r>
            <w:r w:rsidR="00C100EF">
              <w:rPr>
                <w:rFonts w:ascii="Arial" w:hAnsi="Arial" w:cs="Arial" w:hint="eastAsia"/>
                <w:sz w:val="21"/>
                <w:szCs w:val="21"/>
                <w:lang w:eastAsia="zh-CN"/>
              </w:rPr>
              <w:t xml:space="preserve"> </w:t>
            </w:r>
            <w:r>
              <w:rPr>
                <w:rFonts w:ascii="Arial" w:hAnsi="Arial" w:cs="Arial" w:hint="eastAsia"/>
                <w:sz w:val="21"/>
                <w:szCs w:val="21"/>
                <w:lang w:eastAsia="zh-CN"/>
              </w:rPr>
              <w:t>T</w:t>
            </w:r>
            <w:r w:rsidRPr="00EA67DA">
              <w:rPr>
                <w:rFonts w:ascii="Arial" w:hAnsi="Arial" w:cs="Arial"/>
                <w:sz w:val="21"/>
                <w:szCs w:val="21"/>
              </w:rPr>
              <w:t>he following documents must be uploaded to ISISN by the Chinese PI as the attachments</w:t>
            </w:r>
            <w:r>
              <w:rPr>
                <w:rFonts w:ascii="Arial" w:hAnsi="Arial" w:cs="Arial" w:hint="eastAsia"/>
                <w:sz w:val="21"/>
                <w:szCs w:val="21"/>
                <w:lang w:eastAsia="zh-CN"/>
              </w:rPr>
              <w:t>:</w:t>
            </w:r>
          </w:p>
          <w:p w:rsidR="00A46EE7" w:rsidRDefault="00A46EE7" w:rsidP="00A46EE7">
            <w:pPr>
              <w:pStyle w:val="a5"/>
              <w:numPr>
                <w:ilvl w:val="0"/>
                <w:numId w:val="1"/>
              </w:numPr>
              <w:spacing w:after="0" w:line="240" w:lineRule="auto"/>
              <w:jc w:val="both"/>
              <w:rPr>
                <w:rFonts w:ascii="Arial" w:hAnsi="Arial" w:cs="Arial"/>
                <w:sz w:val="21"/>
                <w:szCs w:val="21"/>
                <w:lang w:eastAsia="zh-CN"/>
              </w:rPr>
            </w:pPr>
            <w:r>
              <w:rPr>
                <w:rFonts w:ascii="Arial" w:hAnsi="Arial" w:cs="Arial"/>
                <w:sz w:val="21"/>
                <w:szCs w:val="21"/>
                <w:lang w:eastAsia="zh-CN"/>
              </w:rPr>
              <w:t>T</w:t>
            </w:r>
            <w:r>
              <w:rPr>
                <w:rFonts w:ascii="Arial" w:hAnsi="Arial" w:cs="Arial" w:hint="eastAsia"/>
                <w:sz w:val="21"/>
                <w:szCs w:val="21"/>
                <w:lang w:eastAsia="zh-CN"/>
              </w:rPr>
              <w:t xml:space="preserve">he </w:t>
            </w:r>
            <w:r w:rsidRPr="00EA67DA">
              <w:rPr>
                <w:rFonts w:ascii="Arial" w:hAnsi="Arial" w:cs="Arial"/>
                <w:sz w:val="21"/>
                <w:szCs w:val="21"/>
                <w:lang w:eastAsia="zh-CN"/>
              </w:rPr>
              <w:t xml:space="preserve">JPD in English </w:t>
            </w:r>
            <w:r>
              <w:rPr>
                <w:rFonts w:ascii="Arial" w:hAnsi="Arial" w:cs="Arial" w:hint="eastAsia"/>
                <w:sz w:val="21"/>
                <w:szCs w:val="21"/>
                <w:lang w:eastAsia="zh-CN"/>
              </w:rPr>
              <w:t>jointly prepared</w:t>
            </w:r>
            <w:r w:rsidR="00C100EF">
              <w:rPr>
                <w:rFonts w:ascii="Arial" w:hAnsi="Arial" w:cs="Arial" w:hint="eastAsia"/>
                <w:sz w:val="21"/>
                <w:szCs w:val="21"/>
                <w:lang w:eastAsia="zh-CN"/>
              </w:rPr>
              <w:t xml:space="preserve"> </w:t>
            </w:r>
            <w:r w:rsidRPr="00EA67DA">
              <w:rPr>
                <w:rFonts w:ascii="Arial" w:hAnsi="Arial" w:cs="Arial"/>
                <w:sz w:val="21"/>
                <w:szCs w:val="21"/>
                <w:lang w:eastAsia="zh-CN"/>
              </w:rPr>
              <w:t xml:space="preserve">by all </w:t>
            </w:r>
            <w:r>
              <w:rPr>
                <w:rFonts w:ascii="Arial" w:hAnsi="Arial" w:cs="Arial" w:hint="eastAsia"/>
                <w:sz w:val="21"/>
                <w:szCs w:val="21"/>
                <w:lang w:eastAsia="zh-CN"/>
              </w:rPr>
              <w:t>partners</w:t>
            </w:r>
            <w:r w:rsidRPr="00EA67DA">
              <w:rPr>
                <w:rFonts w:ascii="Arial" w:hAnsi="Arial" w:cs="Arial"/>
                <w:sz w:val="21"/>
                <w:szCs w:val="21"/>
                <w:lang w:eastAsia="zh-CN"/>
              </w:rPr>
              <w:t>.</w:t>
            </w:r>
          </w:p>
          <w:p w:rsidR="00A46EE7" w:rsidRPr="00876CBF" w:rsidRDefault="00A46EE7" w:rsidP="00A46EE7">
            <w:pPr>
              <w:pStyle w:val="a5"/>
              <w:numPr>
                <w:ilvl w:val="0"/>
                <w:numId w:val="1"/>
              </w:numPr>
              <w:spacing w:after="0" w:line="240" w:lineRule="auto"/>
              <w:jc w:val="both"/>
              <w:rPr>
                <w:rFonts w:ascii="Arial" w:hAnsi="Arial" w:cs="Arial"/>
                <w:sz w:val="21"/>
                <w:szCs w:val="21"/>
                <w:lang w:eastAsia="zh-CN"/>
              </w:rPr>
            </w:pPr>
            <w:r w:rsidRPr="00876CBF">
              <w:rPr>
                <w:rFonts w:ascii="Arial" w:hAnsi="Arial" w:cs="Arial"/>
                <w:sz w:val="21"/>
                <w:szCs w:val="21"/>
                <w:lang w:eastAsia="zh-CN"/>
              </w:rPr>
              <w:t>Ethical Approval from Ethics Comm</w:t>
            </w:r>
            <w:r w:rsidRPr="00876CBF">
              <w:rPr>
                <w:rFonts w:ascii="Arial" w:hAnsi="Arial" w:cs="Arial"/>
                <w:sz w:val="21"/>
                <w:szCs w:val="21"/>
              </w:rPr>
              <w:t>ittees of their own or relevant authorities</w:t>
            </w:r>
            <w:r w:rsidRPr="00876CBF">
              <w:rPr>
                <w:rFonts w:ascii="Arial" w:hAnsi="Arial" w:cs="Arial" w:hint="eastAsia"/>
                <w:sz w:val="21"/>
                <w:szCs w:val="21"/>
                <w:lang w:eastAsia="zh-CN"/>
              </w:rPr>
              <w:t xml:space="preserve"> if applicable.</w:t>
            </w:r>
          </w:p>
        </w:tc>
      </w:tr>
      <w:tr w:rsidR="00A46EE7" w:rsidRPr="00EA67DA" w:rsidTr="003813D9">
        <w:tc>
          <w:tcPr>
            <w:tcW w:w="2376" w:type="dxa"/>
          </w:tcPr>
          <w:p w:rsidR="00A46EE7" w:rsidRPr="00AE5427" w:rsidRDefault="00A46EE7" w:rsidP="003813D9">
            <w:pPr>
              <w:jc w:val="both"/>
              <w:rPr>
                <w:rFonts w:ascii="Arial" w:hAnsi="Arial" w:cs="Arial"/>
                <w:b/>
                <w:sz w:val="21"/>
                <w:szCs w:val="21"/>
              </w:rPr>
            </w:pPr>
            <w:r w:rsidRPr="00AE5427">
              <w:rPr>
                <w:rFonts w:ascii="Arial" w:hAnsi="Arial" w:cs="Arial"/>
                <w:b/>
                <w:sz w:val="21"/>
                <w:szCs w:val="21"/>
              </w:rPr>
              <w:t>Submission process</w:t>
            </w:r>
          </w:p>
        </w:tc>
        <w:tc>
          <w:tcPr>
            <w:tcW w:w="6866" w:type="dxa"/>
          </w:tcPr>
          <w:p w:rsidR="00A46EE7" w:rsidRPr="00EA67DA" w:rsidRDefault="00A46EE7" w:rsidP="003813D9">
            <w:pPr>
              <w:jc w:val="both"/>
              <w:rPr>
                <w:rFonts w:ascii="Arial" w:hAnsi="Arial" w:cs="Arial"/>
                <w:sz w:val="21"/>
                <w:szCs w:val="21"/>
                <w:lang w:eastAsia="zh-CN"/>
              </w:rPr>
            </w:pPr>
            <w:r w:rsidRPr="00AE5427">
              <w:rPr>
                <w:rFonts w:ascii="Arial" w:hAnsi="Arial" w:cs="Arial"/>
                <w:sz w:val="21"/>
                <w:szCs w:val="21"/>
              </w:rPr>
              <w:t xml:space="preserve">After </w:t>
            </w:r>
            <w:r>
              <w:rPr>
                <w:rFonts w:ascii="Arial" w:hAnsi="Arial" w:cs="Arial" w:hint="eastAsia"/>
                <w:sz w:val="21"/>
                <w:szCs w:val="21"/>
                <w:lang w:eastAsia="zh-CN"/>
              </w:rPr>
              <w:t>submitting</w:t>
            </w:r>
            <w:r w:rsidRPr="00AE5427">
              <w:rPr>
                <w:rFonts w:ascii="Arial" w:hAnsi="Arial" w:cs="Arial"/>
                <w:sz w:val="21"/>
                <w:szCs w:val="21"/>
              </w:rPr>
              <w:t xml:space="preserve"> the proposal</w:t>
            </w:r>
            <w:r w:rsidR="00C100EF">
              <w:rPr>
                <w:rFonts w:ascii="Arial" w:hAnsi="Arial" w:cs="Arial" w:hint="eastAsia"/>
                <w:sz w:val="21"/>
                <w:szCs w:val="21"/>
                <w:lang w:eastAsia="zh-CN"/>
              </w:rPr>
              <w:t xml:space="preserve"> </w:t>
            </w:r>
            <w:r>
              <w:rPr>
                <w:rFonts w:ascii="Arial" w:hAnsi="Arial" w:cs="Arial" w:hint="eastAsia"/>
                <w:sz w:val="21"/>
                <w:szCs w:val="21"/>
                <w:lang w:eastAsia="zh-CN"/>
              </w:rPr>
              <w:t>and all attachments in the ISISN system</w:t>
            </w:r>
            <w:r w:rsidRPr="00AE5427">
              <w:rPr>
                <w:rFonts w:ascii="Arial" w:hAnsi="Arial" w:cs="Arial"/>
                <w:sz w:val="21"/>
                <w:szCs w:val="21"/>
              </w:rPr>
              <w:t xml:space="preserve">, the </w:t>
            </w:r>
            <w:r>
              <w:rPr>
                <w:rFonts w:ascii="Arial" w:hAnsi="Arial" w:cs="Arial" w:hint="eastAsia"/>
                <w:sz w:val="21"/>
                <w:szCs w:val="21"/>
                <w:lang w:eastAsia="zh-CN"/>
              </w:rPr>
              <w:t>Chinese Principal Investigator</w:t>
            </w:r>
            <w:r w:rsidR="00C100EF">
              <w:rPr>
                <w:rFonts w:ascii="Arial" w:hAnsi="Arial" w:cs="Arial" w:hint="eastAsia"/>
                <w:sz w:val="21"/>
                <w:szCs w:val="21"/>
                <w:lang w:eastAsia="zh-CN"/>
              </w:rPr>
              <w:t xml:space="preserve"> </w:t>
            </w:r>
            <w:r w:rsidRPr="00AE5427">
              <w:rPr>
                <w:rFonts w:ascii="Arial" w:hAnsi="Arial" w:cs="Arial"/>
                <w:sz w:val="21"/>
                <w:szCs w:val="21"/>
              </w:rPr>
              <w:t xml:space="preserve">must </w:t>
            </w:r>
            <w:r>
              <w:rPr>
                <w:rFonts w:ascii="Arial" w:hAnsi="Arial" w:cs="Arial" w:hint="eastAsia"/>
                <w:sz w:val="21"/>
                <w:szCs w:val="21"/>
                <w:lang w:eastAsia="zh-CN"/>
              </w:rPr>
              <w:t>inform his/her</w:t>
            </w:r>
            <w:r w:rsidR="00C100EF">
              <w:rPr>
                <w:rFonts w:ascii="Arial" w:hAnsi="Arial" w:cs="Arial" w:hint="eastAsia"/>
                <w:sz w:val="21"/>
                <w:szCs w:val="21"/>
                <w:lang w:eastAsia="zh-CN"/>
              </w:rPr>
              <w:t xml:space="preserve"> </w:t>
            </w:r>
            <w:r>
              <w:rPr>
                <w:rFonts w:ascii="Arial" w:hAnsi="Arial" w:cs="Arial" w:hint="eastAsia"/>
                <w:sz w:val="21"/>
                <w:szCs w:val="21"/>
                <w:lang w:eastAsia="zh-CN"/>
              </w:rPr>
              <w:t xml:space="preserve">host institution to confirm the application in the ISISN system and finish the entire submission process to NSFC. There is no need to submit any hard copy of the proposal to NSFC. </w:t>
            </w:r>
          </w:p>
        </w:tc>
      </w:tr>
      <w:tr w:rsidR="00A46EE7" w:rsidRPr="00EA67DA" w:rsidTr="003813D9">
        <w:tc>
          <w:tcPr>
            <w:tcW w:w="2376" w:type="dxa"/>
          </w:tcPr>
          <w:p w:rsidR="00A46EE7" w:rsidRPr="00EA67DA" w:rsidRDefault="00A46EE7" w:rsidP="003813D9">
            <w:pPr>
              <w:jc w:val="both"/>
              <w:rPr>
                <w:rFonts w:ascii="Arial" w:hAnsi="Arial" w:cs="Arial"/>
                <w:b/>
                <w:sz w:val="21"/>
                <w:szCs w:val="21"/>
              </w:rPr>
            </w:pPr>
            <w:r w:rsidRPr="00EA67DA">
              <w:rPr>
                <w:rFonts w:ascii="Arial" w:hAnsi="Arial" w:cs="Arial"/>
                <w:b/>
                <w:sz w:val="21"/>
                <w:szCs w:val="21"/>
              </w:rPr>
              <w:t>Assessment</w:t>
            </w:r>
          </w:p>
        </w:tc>
        <w:tc>
          <w:tcPr>
            <w:tcW w:w="6866" w:type="dxa"/>
          </w:tcPr>
          <w:p w:rsidR="00A46EE7" w:rsidRDefault="00A46EE7" w:rsidP="003813D9">
            <w:pPr>
              <w:jc w:val="both"/>
              <w:rPr>
                <w:rFonts w:ascii="Arial" w:hAnsi="Arial" w:cs="Arial"/>
                <w:sz w:val="21"/>
                <w:szCs w:val="21"/>
                <w:lang w:eastAsia="zh-CN"/>
              </w:rPr>
            </w:pPr>
            <w:r>
              <w:rPr>
                <w:rFonts w:ascii="Arial" w:hAnsi="Arial" w:cs="Arial"/>
                <w:sz w:val="21"/>
                <w:szCs w:val="21"/>
                <w:lang w:eastAsia="zh-CN"/>
              </w:rPr>
              <w:t>T</w:t>
            </w:r>
            <w:r>
              <w:rPr>
                <w:rFonts w:ascii="Arial" w:hAnsi="Arial" w:cs="Arial" w:hint="eastAsia"/>
                <w:sz w:val="21"/>
                <w:szCs w:val="21"/>
                <w:lang w:eastAsia="zh-CN"/>
              </w:rPr>
              <w:t xml:space="preserve">here will </w:t>
            </w:r>
            <w:r w:rsidR="00C100EF">
              <w:rPr>
                <w:rFonts w:ascii="Arial" w:hAnsi="Arial" w:cs="Arial" w:hint="eastAsia"/>
                <w:sz w:val="21"/>
                <w:szCs w:val="21"/>
                <w:lang w:eastAsia="zh-CN"/>
              </w:rPr>
              <w:t xml:space="preserve">be </w:t>
            </w:r>
            <w:bookmarkStart w:id="0" w:name="_GoBack"/>
            <w:bookmarkEnd w:id="0"/>
            <w:r>
              <w:rPr>
                <w:rFonts w:ascii="Arial" w:hAnsi="Arial" w:cs="Arial" w:hint="eastAsia"/>
                <w:sz w:val="21"/>
                <w:szCs w:val="21"/>
                <w:lang w:eastAsia="zh-CN"/>
              </w:rPr>
              <w:t xml:space="preserve">a two stage </w:t>
            </w:r>
            <w:r>
              <w:rPr>
                <w:rFonts w:ascii="Arial" w:hAnsi="Arial" w:cs="Arial"/>
                <w:sz w:val="21"/>
                <w:szCs w:val="21"/>
                <w:lang w:eastAsia="zh-CN"/>
              </w:rPr>
              <w:t>evaluation</w:t>
            </w:r>
            <w:r>
              <w:rPr>
                <w:rFonts w:ascii="Arial" w:hAnsi="Arial" w:cs="Arial" w:hint="eastAsia"/>
                <w:sz w:val="21"/>
                <w:szCs w:val="21"/>
                <w:lang w:eastAsia="zh-CN"/>
              </w:rPr>
              <w:t xml:space="preserve"> process. </w:t>
            </w:r>
          </w:p>
          <w:p w:rsidR="00A46EE7" w:rsidRDefault="00A46EE7" w:rsidP="003813D9">
            <w:pPr>
              <w:jc w:val="both"/>
              <w:rPr>
                <w:rFonts w:ascii="Arial" w:hAnsi="Arial" w:cs="Arial"/>
                <w:sz w:val="21"/>
                <w:szCs w:val="21"/>
                <w:lang w:eastAsia="zh-CN"/>
              </w:rPr>
            </w:pPr>
            <w:r>
              <w:rPr>
                <w:rFonts w:ascii="Arial" w:hAnsi="Arial" w:cs="Arial"/>
                <w:sz w:val="21"/>
                <w:szCs w:val="21"/>
                <w:lang w:eastAsia="zh-CN"/>
              </w:rPr>
              <w:t>A</w:t>
            </w:r>
            <w:r>
              <w:rPr>
                <w:rFonts w:ascii="Arial" w:hAnsi="Arial" w:cs="Arial" w:hint="eastAsia"/>
                <w:sz w:val="21"/>
                <w:szCs w:val="21"/>
                <w:lang w:eastAsia="zh-CN"/>
              </w:rPr>
              <w:t xml:space="preserve">t the first stage, each proposal will be reviewed by at least 5 peer reviewers. </w:t>
            </w:r>
          </w:p>
          <w:p w:rsidR="00A46EE7" w:rsidRPr="00EA67DA" w:rsidRDefault="00A46EE7" w:rsidP="003813D9">
            <w:pPr>
              <w:jc w:val="both"/>
              <w:rPr>
                <w:rFonts w:ascii="Arial" w:hAnsi="Arial" w:cs="Arial"/>
                <w:sz w:val="21"/>
                <w:szCs w:val="21"/>
                <w:lang w:eastAsia="zh-CN"/>
              </w:rPr>
            </w:pPr>
            <w:r>
              <w:rPr>
                <w:rFonts w:ascii="Arial" w:hAnsi="Arial" w:cs="Arial"/>
                <w:sz w:val="21"/>
                <w:szCs w:val="21"/>
                <w:lang w:eastAsia="zh-CN"/>
              </w:rPr>
              <w:t>A</w:t>
            </w:r>
            <w:r>
              <w:rPr>
                <w:rFonts w:ascii="Arial" w:hAnsi="Arial" w:cs="Arial" w:hint="eastAsia"/>
                <w:sz w:val="21"/>
                <w:szCs w:val="21"/>
                <w:lang w:eastAsia="zh-CN"/>
              </w:rPr>
              <w:t xml:space="preserve">t the second stage, a joint panel will develop a final ranking list of all proposals based on the </w:t>
            </w:r>
            <w:r w:rsidRPr="008B40DF">
              <w:rPr>
                <w:rFonts w:ascii="Arial" w:hAnsi="Arial" w:cs="Arial"/>
                <w:sz w:val="21"/>
                <w:szCs w:val="21"/>
                <w:lang w:eastAsia="zh-CN"/>
              </w:rPr>
              <w:t>evaluation results</w:t>
            </w:r>
            <w:r>
              <w:rPr>
                <w:rFonts w:ascii="Arial" w:hAnsi="Arial" w:cs="Arial" w:hint="eastAsia"/>
                <w:sz w:val="21"/>
                <w:szCs w:val="21"/>
                <w:lang w:eastAsia="zh-CN"/>
              </w:rPr>
              <w:t xml:space="preserve"> of all funding agencies.  </w:t>
            </w:r>
          </w:p>
        </w:tc>
      </w:tr>
      <w:tr w:rsidR="00A46EE7" w:rsidRPr="00EA67DA" w:rsidTr="003813D9">
        <w:tc>
          <w:tcPr>
            <w:tcW w:w="2376" w:type="dxa"/>
          </w:tcPr>
          <w:p w:rsidR="00A46EE7" w:rsidRPr="00EA67DA" w:rsidRDefault="00A46EE7" w:rsidP="003813D9">
            <w:pPr>
              <w:jc w:val="both"/>
              <w:rPr>
                <w:rFonts w:ascii="Arial" w:hAnsi="Arial" w:cs="Arial"/>
                <w:b/>
                <w:sz w:val="21"/>
                <w:szCs w:val="21"/>
              </w:rPr>
            </w:pPr>
            <w:r w:rsidRPr="00EA67DA">
              <w:rPr>
                <w:rFonts w:ascii="Arial" w:hAnsi="Arial" w:cs="Arial"/>
                <w:b/>
                <w:sz w:val="21"/>
                <w:szCs w:val="21"/>
              </w:rPr>
              <w:t>Contact</w:t>
            </w:r>
          </w:p>
        </w:tc>
        <w:tc>
          <w:tcPr>
            <w:tcW w:w="6866" w:type="dxa"/>
          </w:tcPr>
          <w:p w:rsidR="00A46EE7" w:rsidRPr="00EA67DA" w:rsidRDefault="00A46EE7" w:rsidP="003813D9">
            <w:pPr>
              <w:jc w:val="both"/>
              <w:rPr>
                <w:rFonts w:ascii="Arial" w:hAnsi="Arial" w:cs="Arial"/>
                <w:sz w:val="21"/>
                <w:szCs w:val="21"/>
                <w:lang w:eastAsia="zh-CN"/>
              </w:rPr>
            </w:pPr>
            <w:r w:rsidRPr="00EA67DA">
              <w:rPr>
                <w:rFonts w:ascii="Arial" w:hAnsi="Arial" w:cs="Arial"/>
                <w:sz w:val="21"/>
                <w:szCs w:val="21"/>
                <w:lang w:eastAsia="zh-CN"/>
              </w:rPr>
              <w:t xml:space="preserve">Mr. </w:t>
            </w:r>
            <w:r>
              <w:rPr>
                <w:rFonts w:ascii="Arial" w:hAnsi="Arial" w:cs="Arial" w:hint="eastAsia"/>
                <w:sz w:val="21"/>
                <w:szCs w:val="21"/>
                <w:lang w:eastAsia="zh-CN"/>
              </w:rPr>
              <w:t>ZHONG Qi</w:t>
            </w:r>
          </w:p>
          <w:p w:rsidR="00A46EE7" w:rsidRPr="00EA67DA" w:rsidRDefault="00A46EE7" w:rsidP="003813D9">
            <w:pPr>
              <w:jc w:val="both"/>
              <w:rPr>
                <w:rFonts w:ascii="Arial" w:hAnsi="Arial" w:cs="Arial"/>
                <w:sz w:val="21"/>
                <w:szCs w:val="21"/>
                <w:lang w:eastAsia="zh-CN"/>
              </w:rPr>
            </w:pPr>
            <w:r w:rsidRPr="00EA67DA">
              <w:rPr>
                <w:rFonts w:ascii="Arial" w:hAnsi="Arial" w:cs="Arial"/>
                <w:sz w:val="21"/>
                <w:szCs w:val="21"/>
                <w:lang w:eastAsia="zh-CN"/>
              </w:rPr>
              <w:t xml:space="preserve">Email: </w:t>
            </w:r>
            <w:hyperlink r:id="rId8" w:history="1">
              <w:r w:rsidRPr="00912C04">
                <w:rPr>
                  <w:rStyle w:val="a7"/>
                  <w:rFonts w:ascii="Arial" w:hAnsi="Arial" w:cs="Arial" w:hint="eastAsia"/>
                  <w:sz w:val="21"/>
                  <w:szCs w:val="21"/>
                  <w:lang w:eastAsia="zh-CN"/>
                </w:rPr>
                <w:t>zhongqi</w:t>
              </w:r>
              <w:r w:rsidRPr="00912C04">
                <w:rPr>
                  <w:rStyle w:val="a7"/>
                  <w:rFonts w:ascii="Arial" w:hAnsi="Arial" w:cs="Arial"/>
                  <w:sz w:val="21"/>
                  <w:szCs w:val="21"/>
                  <w:lang w:eastAsia="zh-CN"/>
                </w:rPr>
                <w:t>@nsfc.gov.cn</w:t>
              </w:r>
            </w:hyperlink>
          </w:p>
          <w:p w:rsidR="00A46EE7" w:rsidRPr="00EA67DA" w:rsidRDefault="00A46EE7" w:rsidP="003813D9">
            <w:pPr>
              <w:jc w:val="both"/>
              <w:rPr>
                <w:rFonts w:ascii="Arial" w:hAnsi="Arial" w:cs="Arial"/>
                <w:sz w:val="21"/>
                <w:szCs w:val="21"/>
                <w:lang w:eastAsia="zh-CN"/>
              </w:rPr>
            </w:pPr>
            <w:r w:rsidRPr="00EA67DA">
              <w:rPr>
                <w:rFonts w:ascii="Arial" w:hAnsi="Arial" w:cs="Arial"/>
                <w:sz w:val="21"/>
                <w:szCs w:val="21"/>
                <w:lang w:eastAsia="zh-CN"/>
              </w:rPr>
              <w:t xml:space="preserve">Telephone: +86 10 6232 </w:t>
            </w:r>
            <w:r>
              <w:rPr>
                <w:rFonts w:ascii="Arial" w:hAnsi="Arial" w:cs="Arial" w:hint="eastAsia"/>
                <w:sz w:val="21"/>
                <w:szCs w:val="21"/>
                <w:lang w:eastAsia="zh-CN"/>
              </w:rPr>
              <w:t>7005</w:t>
            </w:r>
          </w:p>
        </w:tc>
      </w:tr>
    </w:tbl>
    <w:p w:rsidR="00A46EE7" w:rsidRDefault="00A46EE7" w:rsidP="00A46EE7">
      <w:pPr>
        <w:spacing w:line="240" w:lineRule="auto"/>
        <w:rPr>
          <w:rFonts w:ascii="Arial" w:hAnsi="Arial" w:cs="Arial"/>
          <w:b/>
          <w:lang w:eastAsia="zh-CN"/>
        </w:rPr>
      </w:pPr>
    </w:p>
    <w:p w:rsidR="00A46EE7" w:rsidRDefault="00A46EE7" w:rsidP="00A46EE7">
      <w:pPr>
        <w:rPr>
          <w:rFonts w:ascii="Arial" w:hAnsi="Arial" w:cs="Arial"/>
          <w:b/>
          <w:lang w:eastAsia="zh-CN"/>
        </w:rPr>
      </w:pPr>
    </w:p>
    <w:p w:rsidR="003E2261" w:rsidRDefault="003E2261" w:rsidP="003E2261">
      <w:pPr>
        <w:rPr>
          <w:rFonts w:ascii="Arial" w:hAnsi="Arial" w:cs="Arial"/>
          <w:b/>
          <w:lang w:eastAsia="zh-CN"/>
        </w:rPr>
      </w:pPr>
    </w:p>
    <w:p w:rsidR="003E2261" w:rsidRDefault="003E2261" w:rsidP="003E2261">
      <w:pPr>
        <w:rPr>
          <w:rFonts w:ascii="Arial" w:hAnsi="Arial" w:cs="Arial"/>
          <w:b/>
          <w:lang w:eastAsia="zh-CN"/>
        </w:rPr>
      </w:pPr>
    </w:p>
    <w:p w:rsidR="003E2261" w:rsidRDefault="003E2261" w:rsidP="003E2261">
      <w:pPr>
        <w:spacing w:after="0"/>
        <w:jc w:val="center"/>
        <w:rPr>
          <w:rFonts w:ascii="Arial" w:hAnsi="Arial" w:cs="Arial"/>
          <w:b/>
          <w:lang w:eastAsia="zh-CN"/>
        </w:rPr>
      </w:pPr>
    </w:p>
    <w:p w:rsidR="003E2261" w:rsidRDefault="003E2261" w:rsidP="003E2261">
      <w:pPr>
        <w:spacing w:after="0"/>
        <w:jc w:val="center"/>
        <w:rPr>
          <w:rFonts w:ascii="Arial" w:hAnsi="Arial" w:cs="Arial"/>
          <w:b/>
          <w:lang w:eastAsia="zh-CN"/>
        </w:rPr>
      </w:pPr>
    </w:p>
    <w:p w:rsidR="003E2261" w:rsidRDefault="003E2261" w:rsidP="003E2261">
      <w:pPr>
        <w:spacing w:after="0"/>
        <w:jc w:val="center"/>
        <w:rPr>
          <w:rFonts w:ascii="Arial" w:hAnsi="Arial" w:cs="Arial"/>
          <w:b/>
          <w:lang w:eastAsia="zh-CN"/>
        </w:rPr>
      </w:pPr>
    </w:p>
    <w:p w:rsidR="003E2261" w:rsidRDefault="003E2261" w:rsidP="003E2261">
      <w:pPr>
        <w:spacing w:after="0"/>
        <w:jc w:val="center"/>
        <w:rPr>
          <w:rFonts w:ascii="Arial" w:hAnsi="Arial" w:cs="Arial"/>
          <w:b/>
          <w:lang w:eastAsia="zh-CN"/>
        </w:rPr>
      </w:pPr>
    </w:p>
    <w:p w:rsidR="003E2261" w:rsidRPr="00F763F7" w:rsidRDefault="003E2261" w:rsidP="003E2261">
      <w:pPr>
        <w:spacing w:after="0"/>
        <w:jc w:val="center"/>
        <w:rPr>
          <w:rFonts w:ascii="Arial" w:hAnsi="Arial" w:cs="Arial"/>
          <w:b/>
        </w:rPr>
      </w:pPr>
      <w:r w:rsidRPr="00F763F7">
        <w:rPr>
          <w:rFonts w:ascii="Arial" w:hAnsi="Arial" w:cs="Arial"/>
          <w:b/>
        </w:rPr>
        <w:lastRenderedPageBreak/>
        <w:t xml:space="preserve">Additional guidance for </w:t>
      </w:r>
      <w:r>
        <w:rPr>
          <w:rFonts w:ascii="Arial" w:hAnsi="Arial" w:cs="Arial"/>
          <w:b/>
        </w:rPr>
        <w:t>Russian</w:t>
      </w:r>
      <w:r w:rsidRPr="00F763F7">
        <w:rPr>
          <w:rFonts w:ascii="Arial" w:hAnsi="Arial" w:cs="Arial"/>
          <w:b/>
        </w:rPr>
        <w:t xml:space="preserve"> applicants</w:t>
      </w:r>
    </w:p>
    <w:p w:rsidR="003E2261" w:rsidRPr="00F763F7" w:rsidRDefault="003E2261" w:rsidP="003E2261">
      <w:pPr>
        <w:spacing w:after="0"/>
        <w:jc w:val="both"/>
        <w:rPr>
          <w:rFonts w:ascii="Arial" w:hAnsi="Arial" w:cs="Arial"/>
          <w:b/>
        </w:rPr>
      </w:pPr>
    </w:p>
    <w:tbl>
      <w:tblPr>
        <w:tblStyle w:val="TableGrid2"/>
        <w:tblW w:w="0" w:type="auto"/>
        <w:tblLook w:val="04A0" w:firstRow="1" w:lastRow="0" w:firstColumn="1" w:lastColumn="0" w:noHBand="0" w:noVBand="1"/>
      </w:tblPr>
      <w:tblGrid>
        <w:gridCol w:w="2171"/>
        <w:gridCol w:w="6351"/>
      </w:tblGrid>
      <w:tr w:rsidR="003E2261" w:rsidRPr="00F763F7" w:rsidTr="003813D9">
        <w:trPr>
          <w:trHeight w:val="454"/>
        </w:trPr>
        <w:tc>
          <w:tcPr>
            <w:tcW w:w="2428" w:type="dxa"/>
            <w:tcBorders>
              <w:top w:val="single" w:sz="4" w:space="0" w:color="auto"/>
              <w:left w:val="single" w:sz="4" w:space="0" w:color="auto"/>
              <w:bottom w:val="single" w:sz="4" w:space="0" w:color="auto"/>
              <w:right w:val="single" w:sz="4" w:space="0" w:color="auto"/>
            </w:tcBorders>
            <w:vAlign w:val="center"/>
            <w:hideMark/>
          </w:tcPr>
          <w:p w:rsidR="003E2261" w:rsidRPr="00F763F7" w:rsidRDefault="003E2261" w:rsidP="003813D9">
            <w:pPr>
              <w:rPr>
                <w:rFonts w:ascii="Arial" w:hAnsi="Arial" w:cs="Arial"/>
                <w:b/>
              </w:rPr>
            </w:pPr>
            <w:r w:rsidRPr="00F763F7">
              <w:rPr>
                <w:rFonts w:ascii="Arial" w:hAnsi="Arial" w:cs="Arial"/>
                <w:b/>
              </w:rPr>
              <w:t>Funding Agency</w:t>
            </w:r>
          </w:p>
        </w:tc>
        <w:tc>
          <w:tcPr>
            <w:tcW w:w="6814" w:type="dxa"/>
            <w:tcBorders>
              <w:top w:val="single" w:sz="4" w:space="0" w:color="auto"/>
              <w:left w:val="single" w:sz="4" w:space="0" w:color="auto"/>
              <w:bottom w:val="single" w:sz="4" w:space="0" w:color="auto"/>
              <w:right w:val="single" w:sz="4" w:space="0" w:color="auto"/>
            </w:tcBorders>
            <w:hideMark/>
          </w:tcPr>
          <w:p w:rsidR="003E2261" w:rsidRPr="00F763F7" w:rsidRDefault="003E2261" w:rsidP="003813D9">
            <w:pPr>
              <w:jc w:val="both"/>
              <w:rPr>
                <w:rFonts w:ascii="Arial" w:hAnsi="Arial" w:cs="Arial"/>
              </w:rPr>
            </w:pPr>
            <w:r>
              <w:rPr>
                <w:rFonts w:ascii="Arial" w:hAnsi="Arial" w:cs="Arial"/>
              </w:rPr>
              <w:t>Russian Foundation for Basic Research</w:t>
            </w:r>
          </w:p>
        </w:tc>
      </w:tr>
      <w:tr w:rsidR="003E2261" w:rsidRPr="00F763F7" w:rsidTr="003813D9">
        <w:trPr>
          <w:trHeight w:val="454"/>
        </w:trPr>
        <w:tc>
          <w:tcPr>
            <w:tcW w:w="2428" w:type="dxa"/>
            <w:tcBorders>
              <w:top w:val="single" w:sz="4" w:space="0" w:color="auto"/>
              <w:left w:val="single" w:sz="4" w:space="0" w:color="auto"/>
              <w:bottom w:val="single" w:sz="4" w:space="0" w:color="auto"/>
              <w:right w:val="single" w:sz="4" w:space="0" w:color="auto"/>
            </w:tcBorders>
            <w:vAlign w:val="center"/>
            <w:hideMark/>
          </w:tcPr>
          <w:p w:rsidR="003E2261" w:rsidRPr="00F763F7" w:rsidRDefault="003E2261" w:rsidP="003813D9">
            <w:pPr>
              <w:rPr>
                <w:rFonts w:ascii="Arial" w:hAnsi="Arial" w:cs="Arial"/>
                <w:b/>
              </w:rPr>
            </w:pPr>
            <w:r w:rsidRPr="00F763F7">
              <w:rPr>
                <w:rFonts w:ascii="Arial" w:hAnsi="Arial" w:cs="Arial"/>
                <w:b/>
              </w:rPr>
              <w:t>Eligibility</w:t>
            </w:r>
          </w:p>
        </w:tc>
        <w:tc>
          <w:tcPr>
            <w:tcW w:w="6814" w:type="dxa"/>
            <w:tcBorders>
              <w:top w:val="single" w:sz="4" w:space="0" w:color="auto"/>
              <w:left w:val="single" w:sz="4" w:space="0" w:color="auto"/>
              <w:bottom w:val="single" w:sz="4" w:space="0" w:color="auto"/>
              <w:right w:val="single" w:sz="4" w:space="0" w:color="auto"/>
            </w:tcBorders>
          </w:tcPr>
          <w:p w:rsidR="003E2261" w:rsidRPr="00F763F7" w:rsidRDefault="003E2261" w:rsidP="003813D9">
            <w:pPr>
              <w:jc w:val="both"/>
              <w:rPr>
                <w:rFonts w:ascii="Arial" w:hAnsi="Arial" w:cs="Arial"/>
              </w:rPr>
            </w:pPr>
            <w:r>
              <w:rPr>
                <w:rFonts w:ascii="Arial" w:hAnsi="Arial" w:cs="Arial"/>
              </w:rPr>
              <w:t>Russian</w:t>
            </w:r>
            <w:r w:rsidRPr="00F763F7">
              <w:rPr>
                <w:rFonts w:ascii="Arial" w:hAnsi="Arial" w:cs="Arial"/>
              </w:rPr>
              <w:t xml:space="preserve"> participant submits</w:t>
            </w:r>
            <w:r>
              <w:rPr>
                <w:rFonts w:ascii="Arial" w:hAnsi="Arial" w:cs="Arial"/>
              </w:rPr>
              <w:t xml:space="preserve"> a national application to the </w:t>
            </w:r>
            <w:r w:rsidRPr="00F763F7">
              <w:rPr>
                <w:rFonts w:ascii="Arial" w:hAnsi="Arial" w:cs="Arial"/>
              </w:rPr>
              <w:t>RF</w:t>
            </w:r>
            <w:r>
              <w:rPr>
                <w:rFonts w:ascii="Arial" w:hAnsi="Arial" w:cs="Arial"/>
              </w:rPr>
              <w:t>B</w:t>
            </w:r>
            <w:r w:rsidRPr="00F763F7">
              <w:rPr>
                <w:rFonts w:ascii="Arial" w:hAnsi="Arial" w:cs="Arial"/>
              </w:rPr>
              <w:t xml:space="preserve">R in accordance with the accepted </w:t>
            </w:r>
            <w:r>
              <w:rPr>
                <w:rFonts w:ascii="Arial" w:hAnsi="Arial" w:cs="Arial"/>
              </w:rPr>
              <w:t xml:space="preserve">national </w:t>
            </w:r>
            <w:r w:rsidRPr="00F763F7">
              <w:rPr>
                <w:rFonts w:ascii="Arial" w:hAnsi="Arial" w:cs="Arial"/>
              </w:rPr>
              <w:t xml:space="preserve">rules (in Russian). </w:t>
            </w:r>
          </w:p>
        </w:tc>
      </w:tr>
      <w:tr w:rsidR="003E2261" w:rsidRPr="00F763F7" w:rsidTr="003813D9">
        <w:trPr>
          <w:trHeight w:val="454"/>
        </w:trPr>
        <w:tc>
          <w:tcPr>
            <w:tcW w:w="2428" w:type="dxa"/>
            <w:tcBorders>
              <w:top w:val="single" w:sz="4" w:space="0" w:color="auto"/>
              <w:left w:val="single" w:sz="4" w:space="0" w:color="auto"/>
              <w:bottom w:val="single" w:sz="4" w:space="0" w:color="auto"/>
              <w:right w:val="single" w:sz="4" w:space="0" w:color="auto"/>
            </w:tcBorders>
            <w:vAlign w:val="center"/>
            <w:hideMark/>
          </w:tcPr>
          <w:p w:rsidR="003E2261" w:rsidRPr="00F763F7" w:rsidRDefault="003E2261" w:rsidP="003813D9">
            <w:pPr>
              <w:rPr>
                <w:rFonts w:ascii="Arial" w:hAnsi="Arial" w:cs="Arial"/>
                <w:b/>
              </w:rPr>
            </w:pPr>
            <w:r w:rsidRPr="00F763F7">
              <w:rPr>
                <w:rFonts w:ascii="Arial" w:hAnsi="Arial" w:cs="Arial"/>
                <w:b/>
              </w:rPr>
              <w:t>Budget</w:t>
            </w:r>
          </w:p>
        </w:tc>
        <w:tc>
          <w:tcPr>
            <w:tcW w:w="6814" w:type="dxa"/>
            <w:tcBorders>
              <w:top w:val="single" w:sz="4" w:space="0" w:color="auto"/>
              <w:left w:val="single" w:sz="4" w:space="0" w:color="auto"/>
              <w:bottom w:val="single" w:sz="4" w:space="0" w:color="auto"/>
              <w:right w:val="single" w:sz="4" w:space="0" w:color="auto"/>
            </w:tcBorders>
            <w:hideMark/>
          </w:tcPr>
          <w:p w:rsidR="003E2261" w:rsidRPr="00F763F7" w:rsidRDefault="003E2261" w:rsidP="003813D9">
            <w:pPr>
              <w:spacing w:after="60"/>
              <w:contextualSpacing/>
              <w:jc w:val="both"/>
              <w:rPr>
                <w:rFonts w:ascii="Arial" w:hAnsi="Arial" w:cs="Arial"/>
              </w:rPr>
            </w:pPr>
            <w:r>
              <w:rPr>
                <w:rFonts w:ascii="Arial" w:hAnsi="Arial" w:cs="Arial"/>
                <w:lang w:val="en-US"/>
              </w:rPr>
              <w:t>Up to 4,000,000 RUB per year</w:t>
            </w:r>
          </w:p>
        </w:tc>
      </w:tr>
      <w:tr w:rsidR="003E2261" w:rsidRPr="00F763F7" w:rsidTr="003813D9">
        <w:trPr>
          <w:trHeight w:val="454"/>
        </w:trPr>
        <w:tc>
          <w:tcPr>
            <w:tcW w:w="2428" w:type="dxa"/>
            <w:tcBorders>
              <w:top w:val="single" w:sz="4" w:space="0" w:color="auto"/>
              <w:left w:val="single" w:sz="4" w:space="0" w:color="auto"/>
              <w:bottom w:val="single" w:sz="4" w:space="0" w:color="auto"/>
              <w:right w:val="single" w:sz="4" w:space="0" w:color="auto"/>
            </w:tcBorders>
            <w:vAlign w:val="center"/>
            <w:hideMark/>
          </w:tcPr>
          <w:p w:rsidR="003E2261" w:rsidRPr="00F763F7" w:rsidRDefault="003E2261" w:rsidP="003813D9">
            <w:pPr>
              <w:rPr>
                <w:rFonts w:ascii="Arial" w:hAnsi="Arial" w:cs="Arial"/>
                <w:b/>
              </w:rPr>
            </w:pPr>
            <w:r w:rsidRPr="00F763F7">
              <w:rPr>
                <w:rFonts w:ascii="Arial" w:hAnsi="Arial" w:cs="Arial"/>
                <w:b/>
              </w:rPr>
              <w:t>Eligible costs</w:t>
            </w:r>
          </w:p>
        </w:tc>
        <w:tc>
          <w:tcPr>
            <w:tcW w:w="6814" w:type="dxa"/>
            <w:tcBorders>
              <w:top w:val="single" w:sz="4" w:space="0" w:color="auto"/>
              <w:left w:val="single" w:sz="4" w:space="0" w:color="auto"/>
              <w:bottom w:val="single" w:sz="4" w:space="0" w:color="auto"/>
              <w:right w:val="single" w:sz="4" w:space="0" w:color="auto"/>
            </w:tcBorders>
          </w:tcPr>
          <w:p w:rsidR="003E2261" w:rsidRPr="00327F7F" w:rsidRDefault="003E2261" w:rsidP="003813D9">
            <w:pPr>
              <w:ind w:left="124"/>
              <w:jc w:val="both"/>
              <w:rPr>
                <w:rFonts w:ascii="Arial" w:hAnsi="Arial" w:cs="Arial"/>
                <w:lang w:val="en-US" w:eastAsia="zh-CN"/>
              </w:rPr>
            </w:pPr>
            <w:r w:rsidRPr="00327F7F">
              <w:rPr>
                <w:rFonts w:ascii="Arial" w:hAnsi="Arial" w:cs="Arial"/>
                <w:lang w:val="en-US" w:eastAsia="zh-CN"/>
              </w:rPr>
              <w:t>1</w:t>
            </w:r>
            <w:r>
              <w:rPr>
                <w:rFonts w:ascii="Arial" w:hAnsi="Arial" w:cs="Arial"/>
                <w:lang w:val="en-US" w:eastAsia="zh-CN"/>
              </w:rPr>
              <w:t>.</w:t>
            </w:r>
            <w:r w:rsidRPr="00327F7F">
              <w:rPr>
                <w:rFonts w:ascii="Arial" w:hAnsi="Arial" w:cs="Arial"/>
                <w:lang w:val="en-US" w:eastAsia="zh-CN"/>
              </w:rPr>
              <w:t xml:space="preserve"> Reimbursement of the organization's expenses for providing conditions for the project implementation (no more than 20%).</w:t>
            </w:r>
          </w:p>
          <w:p w:rsidR="003E2261" w:rsidRPr="00327F7F" w:rsidRDefault="003E2261" w:rsidP="003813D9">
            <w:pPr>
              <w:ind w:left="124"/>
              <w:jc w:val="both"/>
              <w:rPr>
                <w:rFonts w:ascii="Arial" w:hAnsi="Arial" w:cs="Arial"/>
                <w:lang w:val="en-US" w:eastAsia="zh-CN"/>
              </w:rPr>
            </w:pPr>
            <w:r w:rsidRPr="00327F7F">
              <w:rPr>
                <w:rFonts w:ascii="Arial" w:hAnsi="Arial" w:cs="Arial"/>
                <w:lang w:val="en-US" w:eastAsia="zh-CN"/>
              </w:rPr>
              <w:t>2</w:t>
            </w:r>
            <w:r>
              <w:rPr>
                <w:rFonts w:ascii="Arial" w:hAnsi="Arial" w:cs="Arial"/>
                <w:lang w:val="en-US" w:eastAsia="zh-CN"/>
              </w:rPr>
              <w:t>.</w:t>
            </w:r>
            <w:r w:rsidRPr="00327F7F">
              <w:rPr>
                <w:rFonts w:ascii="Arial" w:hAnsi="Arial" w:cs="Arial"/>
                <w:lang w:val="en-US" w:eastAsia="zh-CN"/>
              </w:rPr>
              <w:t xml:space="preserve"> Travel expenses related to the implementation of the project, outside of the settlement where team members lives.</w:t>
            </w:r>
          </w:p>
          <w:p w:rsidR="003E2261" w:rsidRPr="00327F7F" w:rsidRDefault="003E2261" w:rsidP="003813D9">
            <w:pPr>
              <w:ind w:left="124"/>
              <w:jc w:val="both"/>
              <w:rPr>
                <w:rFonts w:ascii="Arial" w:hAnsi="Arial" w:cs="Arial"/>
                <w:lang w:val="en-US" w:eastAsia="zh-CN"/>
              </w:rPr>
            </w:pPr>
            <w:r w:rsidRPr="00327F7F">
              <w:rPr>
                <w:rFonts w:ascii="Arial" w:hAnsi="Arial" w:cs="Arial"/>
                <w:lang w:val="en-US" w:eastAsia="zh-CN"/>
              </w:rPr>
              <w:t>3</w:t>
            </w:r>
            <w:r>
              <w:rPr>
                <w:rFonts w:ascii="Arial" w:hAnsi="Arial" w:cs="Arial"/>
                <w:lang w:val="en-US" w:eastAsia="zh-CN"/>
              </w:rPr>
              <w:t>.</w:t>
            </w:r>
            <w:r w:rsidRPr="00327F7F">
              <w:rPr>
                <w:rFonts w:ascii="Arial" w:hAnsi="Arial" w:cs="Arial"/>
                <w:lang w:val="en-US" w:eastAsia="zh-CN"/>
              </w:rPr>
              <w:t xml:space="preserve"> Organization and registration fees for participation in the activities of team members in order to present the results of the project.</w:t>
            </w:r>
          </w:p>
          <w:p w:rsidR="003E2261" w:rsidRPr="00327F7F" w:rsidRDefault="003E2261" w:rsidP="003813D9">
            <w:pPr>
              <w:ind w:left="124"/>
              <w:jc w:val="both"/>
              <w:rPr>
                <w:rFonts w:ascii="Arial" w:hAnsi="Arial" w:cs="Arial"/>
                <w:lang w:val="en-US" w:eastAsia="zh-CN"/>
              </w:rPr>
            </w:pPr>
            <w:r w:rsidRPr="00327F7F">
              <w:rPr>
                <w:rFonts w:ascii="Arial" w:hAnsi="Arial" w:cs="Arial"/>
                <w:lang w:val="en-US" w:eastAsia="zh-CN"/>
              </w:rPr>
              <w:t>4</w:t>
            </w:r>
            <w:r>
              <w:rPr>
                <w:rFonts w:ascii="Arial" w:hAnsi="Arial" w:cs="Arial"/>
                <w:lang w:val="en-US" w:eastAsia="zh-CN"/>
              </w:rPr>
              <w:t>.</w:t>
            </w:r>
            <w:r w:rsidRPr="00327F7F">
              <w:rPr>
                <w:rFonts w:ascii="Arial" w:hAnsi="Arial" w:cs="Arial"/>
                <w:lang w:val="en-US" w:eastAsia="zh-CN"/>
              </w:rPr>
              <w:t xml:space="preserve"> Expenses for facilities and equipment.</w:t>
            </w:r>
          </w:p>
          <w:p w:rsidR="003E2261" w:rsidRPr="00327F7F" w:rsidRDefault="003E2261" w:rsidP="003813D9">
            <w:pPr>
              <w:ind w:left="124"/>
              <w:jc w:val="both"/>
              <w:rPr>
                <w:rFonts w:ascii="Arial" w:hAnsi="Arial" w:cs="Arial"/>
                <w:lang w:val="en-US" w:eastAsia="zh-CN"/>
              </w:rPr>
            </w:pPr>
            <w:r w:rsidRPr="00327F7F">
              <w:rPr>
                <w:rFonts w:ascii="Arial" w:hAnsi="Arial" w:cs="Arial"/>
                <w:lang w:val="en-US" w:eastAsia="zh-CN"/>
              </w:rPr>
              <w:t>5</w:t>
            </w:r>
            <w:r>
              <w:rPr>
                <w:rFonts w:ascii="Arial" w:hAnsi="Arial" w:cs="Arial"/>
                <w:lang w:val="en-US" w:eastAsia="zh-CN"/>
              </w:rPr>
              <w:t>.</w:t>
            </w:r>
            <w:r w:rsidRPr="00327F7F">
              <w:rPr>
                <w:rFonts w:ascii="Arial" w:hAnsi="Arial" w:cs="Arial"/>
                <w:lang w:val="en-US" w:eastAsia="zh-CN"/>
              </w:rPr>
              <w:t xml:space="preserve"> Expenses for the publishing services.</w:t>
            </w:r>
          </w:p>
          <w:p w:rsidR="003E2261" w:rsidRPr="00327F7F" w:rsidRDefault="003E2261" w:rsidP="003813D9">
            <w:pPr>
              <w:ind w:left="124"/>
              <w:jc w:val="both"/>
              <w:rPr>
                <w:rFonts w:ascii="Arial" w:hAnsi="Arial" w:cs="Arial"/>
                <w:lang w:val="en-US" w:eastAsia="zh-CN"/>
              </w:rPr>
            </w:pPr>
            <w:r w:rsidRPr="00327F7F">
              <w:rPr>
                <w:rFonts w:ascii="Arial" w:hAnsi="Arial" w:cs="Arial"/>
                <w:lang w:val="en-US" w:eastAsia="zh-CN"/>
              </w:rPr>
              <w:t>6</w:t>
            </w:r>
            <w:r>
              <w:rPr>
                <w:rFonts w:ascii="Arial" w:hAnsi="Arial" w:cs="Arial"/>
                <w:lang w:val="en-US" w:eastAsia="zh-CN"/>
              </w:rPr>
              <w:t>.</w:t>
            </w:r>
            <w:r w:rsidRPr="00327F7F">
              <w:rPr>
                <w:rFonts w:ascii="Arial" w:hAnsi="Arial" w:cs="Arial"/>
                <w:lang w:val="en-US" w:eastAsia="zh-CN"/>
              </w:rPr>
              <w:t xml:space="preserve"> Transport expenses.</w:t>
            </w:r>
          </w:p>
          <w:p w:rsidR="003E2261" w:rsidRPr="00327F7F" w:rsidRDefault="003E2261" w:rsidP="003813D9">
            <w:pPr>
              <w:ind w:left="124"/>
              <w:jc w:val="both"/>
              <w:rPr>
                <w:rFonts w:ascii="Arial" w:hAnsi="Arial" w:cs="Arial"/>
                <w:lang w:val="en-US" w:eastAsia="zh-CN"/>
              </w:rPr>
            </w:pPr>
            <w:r w:rsidRPr="00327F7F">
              <w:rPr>
                <w:rFonts w:ascii="Arial" w:hAnsi="Arial" w:cs="Arial"/>
                <w:lang w:val="en-US" w:eastAsia="zh-CN"/>
              </w:rPr>
              <w:t>7</w:t>
            </w:r>
            <w:r>
              <w:rPr>
                <w:rFonts w:ascii="Arial" w:hAnsi="Arial" w:cs="Arial"/>
                <w:lang w:val="en-US" w:eastAsia="zh-CN"/>
              </w:rPr>
              <w:t>.</w:t>
            </w:r>
            <w:r w:rsidRPr="00327F7F">
              <w:rPr>
                <w:rFonts w:ascii="Arial" w:hAnsi="Arial" w:cs="Arial"/>
                <w:lang w:val="en-US" w:eastAsia="zh-CN"/>
              </w:rPr>
              <w:t xml:space="preserve"> Expenses for the animal nutrition and veterinary services.</w:t>
            </w:r>
          </w:p>
          <w:p w:rsidR="003E2261" w:rsidRPr="00327F7F" w:rsidRDefault="003E2261" w:rsidP="003813D9">
            <w:pPr>
              <w:ind w:left="124"/>
              <w:jc w:val="both"/>
              <w:rPr>
                <w:rFonts w:ascii="Arial" w:hAnsi="Arial" w:cs="Arial"/>
                <w:lang w:val="en-US" w:eastAsia="zh-CN"/>
              </w:rPr>
            </w:pPr>
            <w:r w:rsidRPr="00327F7F">
              <w:rPr>
                <w:rFonts w:ascii="Arial" w:hAnsi="Arial" w:cs="Arial"/>
                <w:lang w:val="en-US" w:eastAsia="zh-CN"/>
              </w:rPr>
              <w:t>8</w:t>
            </w:r>
            <w:r>
              <w:rPr>
                <w:rFonts w:ascii="Arial" w:hAnsi="Arial" w:cs="Arial"/>
                <w:lang w:val="en-US" w:eastAsia="zh-CN"/>
              </w:rPr>
              <w:t>.</w:t>
            </w:r>
            <w:r w:rsidRPr="00327F7F">
              <w:rPr>
                <w:rFonts w:ascii="Arial" w:hAnsi="Arial" w:cs="Arial"/>
                <w:lang w:val="en-US" w:eastAsia="zh-CN"/>
              </w:rPr>
              <w:t xml:space="preserve"> Expenses for the manufacture of an experimental equipment, maps, diagrams, diagrams, sketches, layouts, etc. items.</w:t>
            </w:r>
          </w:p>
          <w:p w:rsidR="003E2261" w:rsidRPr="00327F7F" w:rsidRDefault="003E2261" w:rsidP="003813D9">
            <w:pPr>
              <w:ind w:left="124"/>
              <w:jc w:val="both"/>
              <w:rPr>
                <w:rFonts w:ascii="Arial" w:hAnsi="Arial" w:cs="Arial"/>
                <w:lang w:val="en-US" w:eastAsia="zh-CN"/>
              </w:rPr>
            </w:pPr>
            <w:r w:rsidRPr="00327F7F">
              <w:rPr>
                <w:rFonts w:ascii="Arial" w:hAnsi="Arial" w:cs="Arial"/>
                <w:lang w:val="en-US" w:eastAsia="zh-CN"/>
              </w:rPr>
              <w:t>9</w:t>
            </w:r>
            <w:r>
              <w:rPr>
                <w:rFonts w:ascii="Arial" w:hAnsi="Arial" w:cs="Arial"/>
                <w:lang w:val="en-US" w:eastAsia="zh-CN"/>
              </w:rPr>
              <w:t>.</w:t>
            </w:r>
            <w:r w:rsidRPr="00327F7F">
              <w:rPr>
                <w:rFonts w:ascii="Arial" w:hAnsi="Arial" w:cs="Arial"/>
                <w:lang w:val="en-US" w:eastAsia="zh-CN"/>
              </w:rPr>
              <w:t xml:space="preserve"> Expenses for the research work performance (no more than 20%).</w:t>
            </w:r>
          </w:p>
          <w:p w:rsidR="003E2261" w:rsidRPr="00327F7F" w:rsidRDefault="003E2261" w:rsidP="003813D9">
            <w:pPr>
              <w:ind w:left="124"/>
              <w:jc w:val="both"/>
              <w:rPr>
                <w:rFonts w:ascii="Arial" w:hAnsi="Arial" w:cs="Arial"/>
                <w:lang w:val="en-US" w:eastAsia="zh-CN"/>
              </w:rPr>
            </w:pPr>
            <w:r w:rsidRPr="00327F7F">
              <w:rPr>
                <w:rFonts w:ascii="Arial" w:hAnsi="Arial" w:cs="Arial"/>
                <w:lang w:val="en-US" w:eastAsia="zh-CN"/>
              </w:rPr>
              <w:t>10</w:t>
            </w:r>
            <w:r>
              <w:rPr>
                <w:rFonts w:ascii="Arial" w:hAnsi="Arial" w:cs="Arial"/>
                <w:lang w:val="en-US" w:eastAsia="zh-CN"/>
              </w:rPr>
              <w:t>.</w:t>
            </w:r>
            <w:r w:rsidRPr="00327F7F">
              <w:rPr>
                <w:rFonts w:ascii="Arial" w:hAnsi="Arial" w:cs="Arial"/>
                <w:lang w:val="en-US" w:eastAsia="zh-CN"/>
              </w:rPr>
              <w:t xml:space="preserve"> Expenses for the contracts performance</w:t>
            </w:r>
          </w:p>
          <w:p w:rsidR="003E2261" w:rsidRPr="00327F7F" w:rsidRDefault="003E2261" w:rsidP="003813D9">
            <w:pPr>
              <w:ind w:left="124"/>
              <w:jc w:val="both"/>
              <w:rPr>
                <w:rFonts w:ascii="Arial" w:hAnsi="Arial" w:cs="Arial"/>
                <w:lang w:val="en-US" w:eastAsia="zh-CN"/>
              </w:rPr>
            </w:pPr>
            <w:r w:rsidRPr="00327F7F">
              <w:rPr>
                <w:rFonts w:ascii="Arial" w:hAnsi="Arial" w:cs="Arial"/>
                <w:lang w:val="en-US" w:eastAsia="zh-CN"/>
              </w:rPr>
              <w:t>11</w:t>
            </w:r>
            <w:r>
              <w:rPr>
                <w:rFonts w:ascii="Arial" w:hAnsi="Arial" w:cs="Arial"/>
                <w:lang w:val="en-US" w:eastAsia="zh-CN"/>
              </w:rPr>
              <w:t>.</w:t>
            </w:r>
            <w:r w:rsidRPr="00327F7F">
              <w:rPr>
                <w:rFonts w:ascii="Arial" w:hAnsi="Arial" w:cs="Arial"/>
                <w:lang w:val="en-US" w:eastAsia="zh-CN"/>
              </w:rPr>
              <w:t xml:space="preserve"> Expenses for the scientific instruments, equipment, incl. flash cards (computers, laptops, tablets, electronic books, etc. refer to equipment), spare parts, components for scientific equipment, instruments, computing and office equipment, consumables.</w:t>
            </w:r>
          </w:p>
          <w:p w:rsidR="003E2261" w:rsidRPr="00327F7F" w:rsidRDefault="003E2261" w:rsidP="003813D9">
            <w:pPr>
              <w:ind w:left="124"/>
              <w:jc w:val="both"/>
              <w:rPr>
                <w:rFonts w:ascii="Arial" w:hAnsi="Arial" w:cs="Arial"/>
                <w:lang w:val="en-US" w:eastAsia="zh-CN"/>
              </w:rPr>
            </w:pPr>
            <w:r w:rsidRPr="00327F7F">
              <w:rPr>
                <w:rFonts w:ascii="Arial" w:hAnsi="Arial" w:cs="Arial"/>
                <w:lang w:val="en-US" w:eastAsia="zh-CN"/>
              </w:rPr>
              <w:t>12</w:t>
            </w:r>
            <w:r>
              <w:rPr>
                <w:rFonts w:ascii="Arial" w:hAnsi="Arial" w:cs="Arial"/>
                <w:lang w:val="en-US" w:eastAsia="zh-CN"/>
              </w:rPr>
              <w:t>.</w:t>
            </w:r>
            <w:r w:rsidRPr="00327F7F">
              <w:rPr>
                <w:rFonts w:ascii="Arial" w:hAnsi="Arial" w:cs="Arial"/>
                <w:lang w:val="en-US" w:eastAsia="zh-CN"/>
              </w:rPr>
              <w:t xml:space="preserve"> Expenses for the medicines, dressings and other </w:t>
            </w:r>
            <w:r w:rsidRPr="00327F7F">
              <w:rPr>
                <w:rFonts w:ascii="Arial" w:hAnsi="Arial" w:cs="Arial"/>
                <w:lang w:val="en-US" w:eastAsia="zh-CN"/>
              </w:rPr>
              <w:lastRenderedPageBreak/>
              <w:t>medicinal products, soft equipment and uniforms, sleeping bags, special clothing and special footwear, space communications equipment, fuels and lubricants, etc.</w:t>
            </w:r>
          </w:p>
          <w:p w:rsidR="003E2261" w:rsidRPr="00327F7F" w:rsidRDefault="003E2261" w:rsidP="003813D9">
            <w:pPr>
              <w:ind w:left="124"/>
              <w:jc w:val="both"/>
              <w:rPr>
                <w:rFonts w:ascii="Arial" w:hAnsi="Arial" w:cs="Arial"/>
                <w:lang w:val="en-US" w:eastAsia="zh-CN"/>
              </w:rPr>
            </w:pPr>
            <w:r w:rsidRPr="00327F7F">
              <w:rPr>
                <w:rFonts w:ascii="Arial" w:hAnsi="Arial" w:cs="Arial"/>
                <w:lang w:val="en-US" w:eastAsia="zh-CN"/>
              </w:rPr>
              <w:t>13</w:t>
            </w:r>
            <w:r>
              <w:rPr>
                <w:rFonts w:ascii="Arial" w:hAnsi="Arial" w:cs="Arial"/>
                <w:lang w:val="en-US" w:eastAsia="zh-CN"/>
              </w:rPr>
              <w:t>.</w:t>
            </w:r>
            <w:r w:rsidRPr="00327F7F">
              <w:rPr>
                <w:rFonts w:ascii="Arial" w:hAnsi="Arial" w:cs="Arial"/>
                <w:lang w:val="en-US" w:eastAsia="zh-CN"/>
              </w:rPr>
              <w:t xml:space="preserve"> Expenses for the experimental animals and products food for these animals, biological objects for experiments, etc.</w:t>
            </w:r>
          </w:p>
          <w:p w:rsidR="003E2261" w:rsidRPr="00327F7F" w:rsidRDefault="003E2261" w:rsidP="003813D9">
            <w:pPr>
              <w:ind w:left="124"/>
              <w:jc w:val="both"/>
              <w:rPr>
                <w:rFonts w:ascii="Arial" w:hAnsi="Arial" w:cs="Arial"/>
                <w:lang w:val="en-US" w:eastAsia="zh-CN"/>
              </w:rPr>
            </w:pPr>
            <w:r w:rsidRPr="00327F7F">
              <w:rPr>
                <w:rFonts w:ascii="Arial" w:hAnsi="Arial" w:cs="Arial"/>
                <w:lang w:val="en-US" w:eastAsia="zh-CN"/>
              </w:rPr>
              <w:t>14</w:t>
            </w:r>
            <w:r>
              <w:rPr>
                <w:rFonts w:ascii="Arial" w:hAnsi="Arial" w:cs="Arial"/>
                <w:lang w:val="en-US" w:eastAsia="zh-CN"/>
              </w:rPr>
              <w:t>.</w:t>
            </w:r>
            <w:r w:rsidRPr="00327F7F">
              <w:rPr>
                <w:rFonts w:ascii="Arial" w:hAnsi="Arial" w:cs="Arial"/>
                <w:lang w:val="en-US" w:eastAsia="zh-CN"/>
              </w:rPr>
              <w:t xml:space="preserve"> Expenses for the safety gear during project implementation.</w:t>
            </w:r>
          </w:p>
          <w:p w:rsidR="003E2261" w:rsidRPr="00327F7F" w:rsidRDefault="003E2261" w:rsidP="003813D9">
            <w:pPr>
              <w:ind w:left="124"/>
              <w:jc w:val="both"/>
              <w:rPr>
                <w:rFonts w:ascii="Arial" w:hAnsi="Arial" w:cs="Arial"/>
                <w:lang w:val="en-US" w:eastAsia="zh-CN"/>
              </w:rPr>
            </w:pPr>
            <w:r w:rsidRPr="00327F7F">
              <w:rPr>
                <w:rFonts w:ascii="Arial" w:hAnsi="Arial" w:cs="Arial"/>
                <w:lang w:val="en-US" w:eastAsia="zh-CN"/>
              </w:rPr>
              <w:t>15</w:t>
            </w:r>
            <w:r>
              <w:rPr>
                <w:rFonts w:ascii="Arial" w:hAnsi="Arial" w:cs="Arial"/>
                <w:lang w:val="en-US" w:eastAsia="zh-CN"/>
              </w:rPr>
              <w:t>.</w:t>
            </w:r>
            <w:r w:rsidRPr="00327F7F">
              <w:rPr>
                <w:rFonts w:ascii="Arial" w:hAnsi="Arial" w:cs="Arial"/>
                <w:lang w:val="en-US" w:eastAsia="zh-CN"/>
              </w:rPr>
              <w:t xml:space="preserve"> Expenses for the scientific and technical literature for the project implementation (except for library funds).</w:t>
            </w:r>
          </w:p>
          <w:p w:rsidR="003E2261" w:rsidRPr="00327F7F" w:rsidRDefault="003E2261" w:rsidP="003813D9">
            <w:pPr>
              <w:ind w:left="124"/>
              <w:jc w:val="both"/>
              <w:rPr>
                <w:rFonts w:ascii="Arial" w:hAnsi="Arial" w:cs="Arial"/>
                <w:lang w:val="en-US" w:eastAsia="zh-CN"/>
              </w:rPr>
            </w:pPr>
            <w:r w:rsidRPr="00327F7F">
              <w:rPr>
                <w:rFonts w:ascii="Arial" w:hAnsi="Arial" w:cs="Arial"/>
                <w:lang w:val="en-US" w:eastAsia="zh-CN"/>
              </w:rPr>
              <w:t>16</w:t>
            </w:r>
            <w:r>
              <w:rPr>
                <w:rFonts w:ascii="Arial" w:hAnsi="Arial" w:cs="Arial"/>
                <w:lang w:val="en-US" w:eastAsia="zh-CN"/>
              </w:rPr>
              <w:t>.</w:t>
            </w:r>
            <w:r w:rsidRPr="00327F7F">
              <w:rPr>
                <w:rFonts w:ascii="Arial" w:hAnsi="Arial" w:cs="Arial"/>
                <w:lang w:val="en-US" w:eastAsia="zh-CN"/>
              </w:rPr>
              <w:t xml:space="preserve"> Expenses for the subscription of scientific and technical literature on the subject project, access to electronic scientific information resources.</w:t>
            </w:r>
          </w:p>
          <w:p w:rsidR="003E2261" w:rsidRPr="00327F7F" w:rsidRDefault="003E2261" w:rsidP="003813D9">
            <w:pPr>
              <w:ind w:left="124"/>
              <w:jc w:val="both"/>
              <w:rPr>
                <w:rFonts w:ascii="Arial" w:hAnsi="Arial" w:cs="Arial"/>
                <w:lang w:val="en-US" w:eastAsia="zh-CN"/>
              </w:rPr>
            </w:pPr>
            <w:r w:rsidRPr="00327F7F">
              <w:rPr>
                <w:rFonts w:ascii="Arial" w:hAnsi="Arial" w:cs="Arial"/>
                <w:lang w:val="en-US" w:eastAsia="zh-CN"/>
              </w:rPr>
              <w:t>17</w:t>
            </w:r>
            <w:r>
              <w:rPr>
                <w:rFonts w:ascii="Arial" w:hAnsi="Arial" w:cs="Arial"/>
                <w:lang w:val="en-US" w:eastAsia="zh-CN"/>
              </w:rPr>
              <w:t>.</w:t>
            </w:r>
            <w:r w:rsidRPr="00327F7F">
              <w:rPr>
                <w:rFonts w:ascii="Arial" w:hAnsi="Arial" w:cs="Arial"/>
                <w:lang w:val="en-US" w:eastAsia="zh-CN"/>
              </w:rPr>
              <w:t xml:space="preserve"> Expenses for the software licenses, the acquisition and updating of reference and information databases.</w:t>
            </w:r>
          </w:p>
          <w:p w:rsidR="003E2261" w:rsidRPr="00327F7F" w:rsidRDefault="003E2261" w:rsidP="003813D9">
            <w:pPr>
              <w:ind w:left="124"/>
              <w:jc w:val="both"/>
              <w:rPr>
                <w:rFonts w:ascii="Arial" w:hAnsi="Arial" w:cs="Arial"/>
                <w:lang w:val="en-US" w:eastAsia="zh-CN"/>
              </w:rPr>
            </w:pPr>
            <w:r w:rsidRPr="00327F7F">
              <w:rPr>
                <w:rFonts w:ascii="Arial" w:hAnsi="Arial" w:cs="Arial"/>
                <w:lang w:val="en-US" w:eastAsia="zh-CN"/>
              </w:rPr>
              <w:t>18</w:t>
            </w:r>
            <w:r>
              <w:rPr>
                <w:rFonts w:ascii="Arial" w:hAnsi="Arial" w:cs="Arial"/>
                <w:lang w:val="en-US" w:eastAsia="zh-CN"/>
              </w:rPr>
              <w:t>.</w:t>
            </w:r>
            <w:r w:rsidRPr="00327F7F">
              <w:rPr>
                <w:rFonts w:ascii="Arial" w:hAnsi="Arial" w:cs="Arial"/>
                <w:lang w:val="en-US" w:eastAsia="zh-CN"/>
              </w:rPr>
              <w:t xml:space="preserve"> Expenses for the publication of the results of the project implementation, and for intellectual property rights.</w:t>
            </w:r>
          </w:p>
          <w:p w:rsidR="003E2261" w:rsidRPr="00327F7F" w:rsidRDefault="003E2261" w:rsidP="003813D9">
            <w:pPr>
              <w:ind w:left="124"/>
              <w:jc w:val="both"/>
              <w:rPr>
                <w:rFonts w:ascii="Arial" w:hAnsi="Arial" w:cs="Arial"/>
                <w:lang w:val="en-US" w:eastAsia="zh-CN"/>
              </w:rPr>
            </w:pPr>
            <w:r w:rsidRPr="00327F7F">
              <w:rPr>
                <w:rFonts w:ascii="Arial" w:hAnsi="Arial" w:cs="Arial"/>
                <w:lang w:val="en-US" w:eastAsia="zh-CN"/>
              </w:rPr>
              <w:t>19</w:t>
            </w:r>
            <w:r>
              <w:rPr>
                <w:rFonts w:ascii="Arial" w:hAnsi="Arial" w:cs="Arial"/>
                <w:lang w:val="en-US" w:eastAsia="zh-CN"/>
              </w:rPr>
              <w:t>.</w:t>
            </w:r>
            <w:r w:rsidRPr="00327F7F">
              <w:rPr>
                <w:rFonts w:ascii="Arial" w:hAnsi="Arial" w:cs="Arial"/>
                <w:lang w:val="en-US" w:eastAsia="zh-CN"/>
              </w:rPr>
              <w:t xml:space="preserve"> The cost of using the resources of the Shared Use Centers (SUC) in the implementation of the project.</w:t>
            </w:r>
          </w:p>
          <w:p w:rsidR="003E2261" w:rsidRPr="00327F7F" w:rsidRDefault="003E2261" w:rsidP="003813D9">
            <w:pPr>
              <w:ind w:left="124"/>
              <w:jc w:val="both"/>
              <w:rPr>
                <w:rFonts w:ascii="Arial" w:hAnsi="Arial" w:cs="Arial"/>
                <w:lang w:val="en-US" w:eastAsia="zh-CN"/>
              </w:rPr>
            </w:pPr>
            <w:r w:rsidRPr="00327F7F">
              <w:rPr>
                <w:rFonts w:ascii="Arial" w:hAnsi="Arial" w:cs="Arial"/>
                <w:lang w:val="en-US" w:eastAsia="zh-CN"/>
              </w:rPr>
              <w:t>20</w:t>
            </w:r>
            <w:r>
              <w:rPr>
                <w:rFonts w:ascii="Arial" w:hAnsi="Arial" w:cs="Arial"/>
                <w:lang w:val="en-US" w:eastAsia="zh-CN"/>
              </w:rPr>
              <w:t>.</w:t>
            </w:r>
            <w:r w:rsidRPr="00327F7F">
              <w:rPr>
                <w:rFonts w:ascii="Arial" w:hAnsi="Arial" w:cs="Arial"/>
                <w:lang w:val="en-US" w:eastAsia="zh-CN"/>
              </w:rPr>
              <w:t xml:space="preserve"> Expenses for digitizing and photocopying archival materials</w:t>
            </w:r>
          </w:p>
          <w:p w:rsidR="003E2261" w:rsidRPr="00327F7F" w:rsidRDefault="003E2261" w:rsidP="003813D9">
            <w:pPr>
              <w:ind w:left="124"/>
              <w:jc w:val="both"/>
              <w:rPr>
                <w:rFonts w:ascii="Arial" w:hAnsi="Arial" w:cs="Arial"/>
                <w:lang w:val="en-US" w:eastAsia="zh-CN"/>
              </w:rPr>
            </w:pPr>
            <w:r w:rsidRPr="00327F7F">
              <w:rPr>
                <w:rFonts w:ascii="Arial" w:hAnsi="Arial" w:cs="Arial"/>
                <w:lang w:val="en-US" w:eastAsia="zh-CN"/>
              </w:rPr>
              <w:t>21</w:t>
            </w:r>
            <w:r>
              <w:rPr>
                <w:rFonts w:ascii="Arial" w:hAnsi="Arial" w:cs="Arial"/>
                <w:lang w:val="en-US" w:eastAsia="zh-CN"/>
              </w:rPr>
              <w:t>.</w:t>
            </w:r>
            <w:r w:rsidRPr="00327F7F">
              <w:rPr>
                <w:rFonts w:ascii="Arial" w:hAnsi="Arial" w:cs="Arial"/>
                <w:lang w:val="en-US" w:eastAsia="zh-CN"/>
              </w:rPr>
              <w:t xml:space="preserve"> Expenses for communication and Web.</w:t>
            </w:r>
          </w:p>
          <w:p w:rsidR="003E2261" w:rsidRPr="00327F7F" w:rsidRDefault="003E2261" w:rsidP="003813D9">
            <w:pPr>
              <w:ind w:left="124"/>
              <w:jc w:val="both"/>
              <w:rPr>
                <w:rFonts w:ascii="Arial" w:hAnsi="Arial" w:cs="Arial"/>
                <w:lang w:val="en-US" w:eastAsia="zh-CN"/>
              </w:rPr>
            </w:pPr>
            <w:r w:rsidRPr="00327F7F">
              <w:rPr>
                <w:rFonts w:ascii="Arial" w:hAnsi="Arial" w:cs="Arial"/>
                <w:lang w:val="en-US" w:eastAsia="zh-CN"/>
              </w:rPr>
              <w:t>22</w:t>
            </w:r>
            <w:r>
              <w:rPr>
                <w:rFonts w:ascii="Arial" w:hAnsi="Arial" w:cs="Arial"/>
                <w:lang w:val="en-US" w:eastAsia="zh-CN"/>
              </w:rPr>
              <w:t>.</w:t>
            </w:r>
            <w:r w:rsidRPr="00327F7F">
              <w:rPr>
                <w:rFonts w:ascii="Arial" w:hAnsi="Arial" w:cs="Arial"/>
                <w:lang w:val="en-US" w:eastAsia="zh-CN"/>
              </w:rPr>
              <w:t xml:space="preserve"> Expenses for the PI personal consumption.</w:t>
            </w:r>
          </w:p>
        </w:tc>
      </w:tr>
      <w:tr w:rsidR="003E2261" w:rsidRPr="00F763F7" w:rsidTr="003813D9">
        <w:trPr>
          <w:trHeight w:val="454"/>
        </w:trPr>
        <w:tc>
          <w:tcPr>
            <w:tcW w:w="2428" w:type="dxa"/>
            <w:tcBorders>
              <w:top w:val="single" w:sz="4" w:space="0" w:color="auto"/>
              <w:left w:val="single" w:sz="4" w:space="0" w:color="auto"/>
              <w:bottom w:val="single" w:sz="4" w:space="0" w:color="auto"/>
              <w:right w:val="single" w:sz="4" w:space="0" w:color="auto"/>
            </w:tcBorders>
            <w:vAlign w:val="center"/>
            <w:hideMark/>
          </w:tcPr>
          <w:p w:rsidR="003E2261" w:rsidRPr="00F763F7" w:rsidRDefault="003E2261" w:rsidP="003813D9">
            <w:pPr>
              <w:rPr>
                <w:rFonts w:ascii="Arial" w:hAnsi="Arial" w:cs="Arial"/>
                <w:b/>
              </w:rPr>
            </w:pPr>
            <w:r w:rsidRPr="00F763F7">
              <w:rPr>
                <w:rFonts w:ascii="Arial" w:hAnsi="Arial" w:cs="Arial"/>
                <w:b/>
              </w:rPr>
              <w:lastRenderedPageBreak/>
              <w:t>Documents required</w:t>
            </w:r>
          </w:p>
        </w:tc>
        <w:tc>
          <w:tcPr>
            <w:tcW w:w="6814" w:type="dxa"/>
            <w:tcBorders>
              <w:top w:val="single" w:sz="4" w:space="0" w:color="auto"/>
              <w:left w:val="single" w:sz="4" w:space="0" w:color="auto"/>
              <w:bottom w:val="single" w:sz="4" w:space="0" w:color="auto"/>
              <w:right w:val="single" w:sz="4" w:space="0" w:color="auto"/>
            </w:tcBorders>
          </w:tcPr>
          <w:p w:rsidR="003E2261" w:rsidRPr="00F763F7" w:rsidRDefault="003E2261" w:rsidP="003813D9">
            <w:pPr>
              <w:jc w:val="both"/>
              <w:rPr>
                <w:rFonts w:ascii="Arial" w:hAnsi="Arial" w:cs="Arial"/>
              </w:rPr>
            </w:pPr>
            <w:r>
              <w:rPr>
                <w:rFonts w:ascii="Arial" w:hAnsi="Arial" w:cs="Arial"/>
              </w:rPr>
              <w:t>According to national rules published at RFBR website (Call’s terms)</w:t>
            </w:r>
          </w:p>
          <w:p w:rsidR="003E2261" w:rsidRPr="00F763F7" w:rsidRDefault="003E2261" w:rsidP="003813D9">
            <w:pPr>
              <w:jc w:val="both"/>
              <w:rPr>
                <w:rFonts w:ascii="Arial" w:hAnsi="Arial" w:cs="Arial"/>
              </w:rPr>
            </w:pPr>
          </w:p>
        </w:tc>
      </w:tr>
      <w:tr w:rsidR="003E2261" w:rsidRPr="00F763F7" w:rsidTr="003813D9">
        <w:trPr>
          <w:trHeight w:val="454"/>
        </w:trPr>
        <w:tc>
          <w:tcPr>
            <w:tcW w:w="2428" w:type="dxa"/>
            <w:tcBorders>
              <w:top w:val="single" w:sz="4" w:space="0" w:color="auto"/>
              <w:left w:val="single" w:sz="4" w:space="0" w:color="auto"/>
              <w:bottom w:val="single" w:sz="4" w:space="0" w:color="auto"/>
              <w:right w:val="single" w:sz="4" w:space="0" w:color="auto"/>
            </w:tcBorders>
            <w:vAlign w:val="center"/>
            <w:hideMark/>
          </w:tcPr>
          <w:p w:rsidR="003E2261" w:rsidRPr="00F763F7" w:rsidRDefault="003E2261" w:rsidP="003813D9">
            <w:pPr>
              <w:rPr>
                <w:rFonts w:ascii="Arial" w:hAnsi="Arial" w:cs="Arial"/>
                <w:b/>
              </w:rPr>
            </w:pPr>
            <w:r w:rsidRPr="00F763F7">
              <w:rPr>
                <w:rFonts w:ascii="Arial" w:hAnsi="Arial" w:cs="Arial"/>
                <w:b/>
              </w:rPr>
              <w:t>Submission process</w:t>
            </w:r>
          </w:p>
        </w:tc>
        <w:tc>
          <w:tcPr>
            <w:tcW w:w="6814" w:type="dxa"/>
            <w:tcBorders>
              <w:top w:val="single" w:sz="4" w:space="0" w:color="auto"/>
              <w:left w:val="single" w:sz="4" w:space="0" w:color="auto"/>
              <w:bottom w:val="single" w:sz="4" w:space="0" w:color="auto"/>
              <w:right w:val="single" w:sz="4" w:space="0" w:color="auto"/>
            </w:tcBorders>
          </w:tcPr>
          <w:p w:rsidR="003E2261" w:rsidRPr="00F763F7" w:rsidRDefault="003E2261" w:rsidP="003813D9">
            <w:pPr>
              <w:rPr>
                <w:rFonts w:ascii="Arial" w:hAnsi="Arial" w:cs="Arial"/>
              </w:rPr>
            </w:pPr>
            <w:r>
              <w:rPr>
                <w:rFonts w:ascii="Arial" w:hAnsi="Arial" w:cs="Arial"/>
              </w:rPr>
              <w:t>Through RFBR system (KIAS) according to the instructions</w:t>
            </w:r>
          </w:p>
        </w:tc>
      </w:tr>
      <w:tr w:rsidR="003E2261" w:rsidRPr="00F763F7" w:rsidTr="003813D9">
        <w:trPr>
          <w:trHeight w:val="454"/>
        </w:trPr>
        <w:tc>
          <w:tcPr>
            <w:tcW w:w="2428" w:type="dxa"/>
            <w:tcBorders>
              <w:top w:val="single" w:sz="4" w:space="0" w:color="auto"/>
              <w:left w:val="single" w:sz="4" w:space="0" w:color="auto"/>
              <w:bottom w:val="single" w:sz="4" w:space="0" w:color="auto"/>
              <w:right w:val="single" w:sz="4" w:space="0" w:color="auto"/>
            </w:tcBorders>
            <w:vAlign w:val="center"/>
            <w:hideMark/>
          </w:tcPr>
          <w:p w:rsidR="003E2261" w:rsidRPr="00F763F7" w:rsidRDefault="003E2261" w:rsidP="003813D9">
            <w:pPr>
              <w:rPr>
                <w:rFonts w:ascii="Arial" w:hAnsi="Arial" w:cs="Arial"/>
                <w:b/>
              </w:rPr>
            </w:pPr>
            <w:r w:rsidRPr="00F763F7">
              <w:rPr>
                <w:rFonts w:ascii="Arial" w:hAnsi="Arial" w:cs="Arial"/>
                <w:b/>
              </w:rPr>
              <w:t>Assessment</w:t>
            </w:r>
          </w:p>
        </w:tc>
        <w:tc>
          <w:tcPr>
            <w:tcW w:w="6814" w:type="dxa"/>
            <w:tcBorders>
              <w:top w:val="single" w:sz="4" w:space="0" w:color="auto"/>
              <w:left w:val="single" w:sz="4" w:space="0" w:color="auto"/>
              <w:bottom w:val="single" w:sz="4" w:space="0" w:color="auto"/>
              <w:right w:val="single" w:sz="4" w:space="0" w:color="auto"/>
            </w:tcBorders>
          </w:tcPr>
          <w:p w:rsidR="003E2261" w:rsidRPr="00F763F7" w:rsidRDefault="003E2261" w:rsidP="003813D9">
            <w:pPr>
              <w:jc w:val="both"/>
              <w:rPr>
                <w:rFonts w:ascii="Arial" w:hAnsi="Arial" w:cs="Arial"/>
                <w:lang w:eastAsia="zh-CN"/>
              </w:rPr>
            </w:pPr>
            <w:r w:rsidRPr="00F763F7">
              <w:rPr>
                <w:rFonts w:ascii="Arial" w:hAnsi="Arial" w:cs="Arial"/>
                <w:lang w:eastAsia="zh-CN"/>
              </w:rPr>
              <w:t xml:space="preserve">There will be two-stage evaluation process. </w:t>
            </w:r>
          </w:p>
          <w:p w:rsidR="003E2261" w:rsidRPr="00F763F7" w:rsidRDefault="003E2261" w:rsidP="003813D9">
            <w:pPr>
              <w:jc w:val="both"/>
              <w:rPr>
                <w:rFonts w:ascii="Arial" w:hAnsi="Arial" w:cs="Arial"/>
                <w:lang w:eastAsia="zh-CN"/>
              </w:rPr>
            </w:pPr>
            <w:r w:rsidRPr="00F763F7">
              <w:rPr>
                <w:rFonts w:ascii="Arial" w:hAnsi="Arial" w:cs="Arial"/>
                <w:lang w:eastAsia="zh-CN"/>
              </w:rPr>
              <w:t xml:space="preserve">At the first stage, each proposal will be reviewed according to a </w:t>
            </w:r>
            <w:r w:rsidRPr="00F763F7">
              <w:rPr>
                <w:rFonts w:ascii="Arial" w:hAnsi="Arial" w:cs="Arial"/>
                <w:lang w:eastAsia="zh-CN"/>
              </w:rPr>
              <w:lastRenderedPageBreak/>
              <w:t xml:space="preserve">national procedure for evaluation. </w:t>
            </w:r>
          </w:p>
          <w:p w:rsidR="003E2261" w:rsidRPr="00F763F7" w:rsidRDefault="003E2261" w:rsidP="003813D9">
            <w:pPr>
              <w:jc w:val="both"/>
              <w:rPr>
                <w:rFonts w:ascii="Arial" w:hAnsi="Arial" w:cs="Arial"/>
              </w:rPr>
            </w:pPr>
            <w:r w:rsidRPr="00F763F7">
              <w:rPr>
                <w:rFonts w:ascii="Arial" w:hAnsi="Arial" w:cs="Arial"/>
                <w:lang w:eastAsia="zh-CN"/>
              </w:rPr>
              <w:t xml:space="preserve">At the second stage, a joint panel will develop a final ranking list of all proposals </w:t>
            </w:r>
            <w:r>
              <w:rPr>
                <w:rFonts w:ascii="Arial" w:hAnsi="Arial" w:cs="Arial"/>
                <w:lang w:eastAsia="zh-CN"/>
              </w:rPr>
              <w:t>based on the evaluation results of both foundations.</w:t>
            </w:r>
          </w:p>
        </w:tc>
      </w:tr>
      <w:tr w:rsidR="003E2261" w:rsidRPr="00F763F7" w:rsidTr="003813D9">
        <w:trPr>
          <w:trHeight w:val="454"/>
        </w:trPr>
        <w:tc>
          <w:tcPr>
            <w:tcW w:w="2428" w:type="dxa"/>
            <w:tcBorders>
              <w:top w:val="single" w:sz="4" w:space="0" w:color="auto"/>
              <w:left w:val="single" w:sz="4" w:space="0" w:color="auto"/>
              <w:bottom w:val="single" w:sz="4" w:space="0" w:color="auto"/>
              <w:right w:val="single" w:sz="4" w:space="0" w:color="auto"/>
            </w:tcBorders>
            <w:vAlign w:val="center"/>
            <w:hideMark/>
          </w:tcPr>
          <w:p w:rsidR="003E2261" w:rsidRPr="00F763F7" w:rsidRDefault="003E2261" w:rsidP="003813D9">
            <w:pPr>
              <w:rPr>
                <w:rFonts w:ascii="Arial" w:hAnsi="Arial" w:cs="Arial"/>
                <w:b/>
              </w:rPr>
            </w:pPr>
            <w:r w:rsidRPr="00F763F7">
              <w:rPr>
                <w:rFonts w:ascii="Arial" w:hAnsi="Arial" w:cs="Arial"/>
                <w:b/>
              </w:rPr>
              <w:lastRenderedPageBreak/>
              <w:t>Contacts</w:t>
            </w:r>
          </w:p>
        </w:tc>
        <w:tc>
          <w:tcPr>
            <w:tcW w:w="6814" w:type="dxa"/>
            <w:tcBorders>
              <w:top w:val="single" w:sz="4" w:space="0" w:color="auto"/>
              <w:left w:val="single" w:sz="4" w:space="0" w:color="auto"/>
              <w:bottom w:val="single" w:sz="4" w:space="0" w:color="auto"/>
              <w:right w:val="single" w:sz="4" w:space="0" w:color="auto"/>
            </w:tcBorders>
          </w:tcPr>
          <w:p w:rsidR="003E2261" w:rsidRPr="00F763F7" w:rsidRDefault="003E2261" w:rsidP="003813D9">
            <w:pPr>
              <w:pStyle w:val="Default"/>
              <w:jc w:val="both"/>
              <w:rPr>
                <w:rFonts w:ascii="Arial" w:hAnsi="Arial" w:cs="Arial"/>
                <w:sz w:val="22"/>
                <w:szCs w:val="22"/>
                <w:lang w:val="en-US"/>
              </w:rPr>
            </w:pPr>
            <w:r>
              <w:rPr>
                <w:rFonts w:ascii="Arial" w:hAnsi="Arial" w:cs="Arial"/>
                <w:sz w:val="22"/>
                <w:szCs w:val="22"/>
                <w:lang w:val="en-US"/>
              </w:rPr>
              <w:t>Mr.</w:t>
            </w:r>
            <w:r w:rsidRPr="00F763F7">
              <w:rPr>
                <w:rFonts w:ascii="Arial" w:hAnsi="Arial" w:cs="Arial"/>
                <w:sz w:val="22"/>
                <w:szCs w:val="22"/>
                <w:lang w:val="en-US"/>
              </w:rPr>
              <w:t xml:space="preserve"> </w:t>
            </w:r>
            <w:r>
              <w:rPr>
                <w:rFonts w:ascii="Arial" w:hAnsi="Arial" w:cs="Arial"/>
                <w:sz w:val="22"/>
                <w:szCs w:val="22"/>
                <w:lang w:val="en-US"/>
              </w:rPr>
              <w:t xml:space="preserve">Dmitry </w:t>
            </w:r>
            <w:proofErr w:type="spellStart"/>
            <w:r>
              <w:rPr>
                <w:rFonts w:ascii="Arial" w:hAnsi="Arial" w:cs="Arial"/>
                <w:sz w:val="22"/>
                <w:szCs w:val="22"/>
                <w:lang w:val="en-US"/>
              </w:rPr>
              <w:t>Mazin</w:t>
            </w:r>
            <w:proofErr w:type="spellEnd"/>
          </w:p>
          <w:p w:rsidR="003E2261" w:rsidRPr="0033042D" w:rsidRDefault="003E2261" w:rsidP="003813D9">
            <w:pPr>
              <w:autoSpaceDE w:val="0"/>
              <w:autoSpaceDN w:val="0"/>
              <w:adjustRightInd w:val="0"/>
              <w:rPr>
                <w:rFonts w:eastAsiaTheme="minorHAnsi"/>
                <w:color w:val="000000"/>
                <w:lang w:val="en-US"/>
              </w:rPr>
            </w:pPr>
            <w:proofErr w:type="spellStart"/>
            <w:r w:rsidRPr="00F763F7">
              <w:rPr>
                <w:rFonts w:ascii="Arial" w:hAnsi="Arial" w:cs="Arial"/>
                <w:lang w:eastAsia="zh-CN"/>
              </w:rPr>
              <w:t>Em</w:t>
            </w:r>
            <w:proofErr w:type="spellEnd"/>
            <w:r w:rsidRPr="0033042D">
              <w:rPr>
                <w:rFonts w:ascii="Arial" w:eastAsiaTheme="minorHAnsi" w:hAnsi="Arial" w:cs="Arial"/>
                <w:color w:val="000000"/>
                <w:lang w:val="en-US"/>
              </w:rPr>
              <w:t xml:space="preserve">ail: </w:t>
            </w:r>
            <w:hyperlink r:id="rId9" w:history="1">
              <w:r w:rsidRPr="00E85A30">
                <w:rPr>
                  <w:rStyle w:val="a7"/>
                  <w:rFonts w:eastAsiaTheme="minorHAnsi"/>
                  <w:lang w:val="en-US"/>
                </w:rPr>
                <w:t>mazin@rfbr.ru</w:t>
              </w:r>
            </w:hyperlink>
            <w:r w:rsidRPr="0033042D">
              <w:rPr>
                <w:rFonts w:eastAsiaTheme="minorHAnsi"/>
                <w:color w:val="000000"/>
                <w:lang w:val="en-US"/>
              </w:rPr>
              <w:t xml:space="preserve">  </w:t>
            </w:r>
          </w:p>
          <w:p w:rsidR="003E2261" w:rsidRPr="00C078F9" w:rsidRDefault="003E2261" w:rsidP="003813D9">
            <w:pPr>
              <w:autoSpaceDE w:val="0"/>
              <w:autoSpaceDN w:val="0"/>
              <w:adjustRightInd w:val="0"/>
              <w:rPr>
                <w:rFonts w:ascii="Arial" w:eastAsiaTheme="minorEastAsia" w:hAnsi="Arial" w:cs="Arial"/>
                <w:color w:val="000000"/>
                <w:lang w:val="en-US" w:eastAsia="zh-CN"/>
              </w:rPr>
            </w:pPr>
            <w:r w:rsidRPr="00C078F9">
              <w:rPr>
                <w:rFonts w:ascii="Arial" w:eastAsiaTheme="minorHAnsi" w:hAnsi="Arial" w:cs="Arial"/>
                <w:color w:val="000000"/>
                <w:lang w:val="en-US"/>
              </w:rPr>
              <w:t>Tel:+7</w:t>
            </w:r>
            <w:r>
              <w:rPr>
                <w:rFonts w:ascii="Arial" w:eastAsiaTheme="minorHAnsi" w:hAnsi="Arial" w:cs="Arial"/>
                <w:color w:val="000000"/>
                <w:lang w:val="en-US"/>
              </w:rPr>
              <w:t xml:space="preserve"> (944) 995-14-69</w:t>
            </w:r>
          </w:p>
        </w:tc>
      </w:tr>
      <w:tr w:rsidR="003E2261" w:rsidRPr="00F763F7" w:rsidTr="003813D9">
        <w:trPr>
          <w:trHeight w:val="454"/>
        </w:trPr>
        <w:tc>
          <w:tcPr>
            <w:tcW w:w="2428" w:type="dxa"/>
            <w:tcBorders>
              <w:top w:val="single" w:sz="4" w:space="0" w:color="auto"/>
              <w:left w:val="single" w:sz="4" w:space="0" w:color="auto"/>
              <w:bottom w:val="single" w:sz="4" w:space="0" w:color="auto"/>
              <w:right w:val="single" w:sz="4" w:space="0" w:color="auto"/>
            </w:tcBorders>
            <w:vAlign w:val="center"/>
          </w:tcPr>
          <w:p w:rsidR="003E2261" w:rsidRPr="00D446A6" w:rsidRDefault="003E2261" w:rsidP="003813D9">
            <w:pPr>
              <w:rPr>
                <w:rFonts w:ascii="Arial" w:eastAsiaTheme="minorEastAsia" w:hAnsi="Arial" w:cs="Arial"/>
                <w:b/>
                <w:lang w:eastAsia="zh-CN"/>
              </w:rPr>
            </w:pPr>
            <w:r>
              <w:rPr>
                <w:rFonts w:ascii="Arial" w:eastAsiaTheme="minorEastAsia" w:hAnsi="Arial" w:cs="Arial" w:hint="eastAsia"/>
                <w:b/>
                <w:lang w:eastAsia="zh-CN"/>
              </w:rPr>
              <w:t>Link to the call:</w:t>
            </w:r>
          </w:p>
        </w:tc>
        <w:tc>
          <w:tcPr>
            <w:tcW w:w="6814" w:type="dxa"/>
            <w:tcBorders>
              <w:top w:val="single" w:sz="4" w:space="0" w:color="auto"/>
              <w:left w:val="single" w:sz="4" w:space="0" w:color="auto"/>
              <w:bottom w:val="single" w:sz="4" w:space="0" w:color="auto"/>
              <w:right w:val="single" w:sz="4" w:space="0" w:color="auto"/>
            </w:tcBorders>
          </w:tcPr>
          <w:p w:rsidR="003E2261" w:rsidRPr="00F763F7" w:rsidRDefault="00C100EF" w:rsidP="003813D9">
            <w:pPr>
              <w:pStyle w:val="Default"/>
              <w:jc w:val="both"/>
              <w:rPr>
                <w:rFonts w:ascii="Arial" w:hAnsi="Arial" w:cs="Arial"/>
                <w:sz w:val="22"/>
                <w:szCs w:val="22"/>
                <w:lang w:val="en-US"/>
              </w:rPr>
            </w:pPr>
            <w:hyperlink r:id="rId10" w:tgtFrame="_blank" w:history="1">
              <w:r w:rsidR="003E2261" w:rsidRPr="00A53FDD">
                <w:rPr>
                  <w:rStyle w:val="a7"/>
                  <w:rFonts w:ascii="Arial" w:hAnsi="Arial" w:cs="Arial"/>
                  <w:sz w:val="22"/>
                  <w:szCs w:val="22"/>
                </w:rPr>
                <w:t>https://www.rfbr.ru/rffi/ru/contest/n_812/o_2109210</w:t>
              </w:r>
            </w:hyperlink>
          </w:p>
        </w:tc>
      </w:tr>
    </w:tbl>
    <w:p w:rsidR="003E2261" w:rsidRPr="003D7638" w:rsidRDefault="003E2261" w:rsidP="003E2261">
      <w:pPr>
        <w:rPr>
          <w:rFonts w:ascii="Arial" w:hAnsi="Arial" w:cs="Arial"/>
          <w:b/>
          <w:lang w:eastAsia="zh-CN"/>
        </w:rPr>
      </w:pPr>
    </w:p>
    <w:p w:rsidR="003E2261" w:rsidRPr="00F763F7" w:rsidRDefault="003E2261" w:rsidP="003E2261">
      <w:pPr>
        <w:rPr>
          <w:rFonts w:ascii="Arial" w:hAnsi="Arial" w:cs="Arial"/>
        </w:rPr>
      </w:pPr>
    </w:p>
    <w:p w:rsidR="00A46EE7" w:rsidRPr="003E2261" w:rsidRDefault="00A46EE7" w:rsidP="00A46EE7">
      <w:pPr>
        <w:rPr>
          <w:rFonts w:ascii="Arial" w:hAnsi="Arial" w:cs="Arial"/>
          <w:b/>
          <w:lang w:eastAsia="zh-CN"/>
        </w:rPr>
      </w:pPr>
    </w:p>
    <w:p w:rsidR="00251312" w:rsidRDefault="00251312"/>
    <w:sectPr w:rsidR="002513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EE7" w:rsidRDefault="00A46EE7" w:rsidP="00A46EE7">
      <w:pPr>
        <w:spacing w:after="0" w:line="240" w:lineRule="auto"/>
      </w:pPr>
      <w:r>
        <w:separator/>
      </w:r>
    </w:p>
  </w:endnote>
  <w:endnote w:type="continuationSeparator" w:id="0">
    <w:p w:rsidR="00A46EE7" w:rsidRDefault="00A46EE7" w:rsidP="00A46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EE7" w:rsidRDefault="00A46EE7" w:rsidP="00A46EE7">
      <w:pPr>
        <w:spacing w:after="0" w:line="240" w:lineRule="auto"/>
      </w:pPr>
      <w:r>
        <w:separator/>
      </w:r>
    </w:p>
  </w:footnote>
  <w:footnote w:type="continuationSeparator" w:id="0">
    <w:p w:rsidR="00A46EE7" w:rsidRDefault="00A46EE7" w:rsidP="00A46E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A4A"/>
    <w:multiLevelType w:val="hybridMultilevel"/>
    <w:tmpl w:val="9D94E7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6CA535F5"/>
    <w:multiLevelType w:val="hybridMultilevel"/>
    <w:tmpl w:val="5CBCEE4C"/>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72EB7C58"/>
    <w:multiLevelType w:val="hybridMultilevel"/>
    <w:tmpl w:val="43463F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6533027"/>
    <w:multiLevelType w:val="hybridMultilevel"/>
    <w:tmpl w:val="C068D698"/>
    <w:lvl w:ilvl="0" w:tplc="08090001">
      <w:start w:val="1"/>
      <w:numFmt w:val="bullet"/>
      <w:lvlText w:val=""/>
      <w:lvlJc w:val="left"/>
      <w:pPr>
        <w:ind w:left="420" w:hanging="420"/>
      </w:pPr>
      <w:rPr>
        <w:rFonts w:ascii="Symbol" w:hAnsi="Symbol" w:hint="default"/>
      </w:rPr>
    </w:lvl>
    <w:lvl w:ilvl="1" w:tplc="08090019">
      <w:start w:val="1"/>
      <w:numFmt w:val="lowerLetter"/>
      <w:lvlText w:val="%2."/>
      <w:lvlJc w:val="left"/>
      <w:pPr>
        <w:ind w:left="840" w:hanging="420"/>
      </w:pPr>
      <w:rPr>
        <w:rFonts w:hint="default"/>
      </w:rPr>
    </w:lvl>
    <w:lvl w:ilvl="2" w:tplc="314C7B18">
      <w:start w:val="1"/>
      <w:numFmt w:val="decimal"/>
      <w:lvlText w:val="%3."/>
      <w:lvlJc w:val="left"/>
      <w:pPr>
        <w:ind w:left="1200" w:hanging="360"/>
      </w:pPr>
      <w:rPr>
        <w:rFont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55B"/>
    <w:rsid w:val="0000730E"/>
    <w:rsid w:val="00016AEA"/>
    <w:rsid w:val="00043E02"/>
    <w:rsid w:val="00045ADD"/>
    <w:rsid w:val="00046589"/>
    <w:rsid w:val="000646A4"/>
    <w:rsid w:val="00064941"/>
    <w:rsid w:val="000651DD"/>
    <w:rsid w:val="00070EFD"/>
    <w:rsid w:val="00096975"/>
    <w:rsid w:val="000A75CB"/>
    <w:rsid w:val="000A7A9B"/>
    <w:rsid w:val="000C64FB"/>
    <w:rsid w:val="000D5B39"/>
    <w:rsid w:val="000D6386"/>
    <w:rsid w:val="000E0A8E"/>
    <w:rsid w:val="000E1604"/>
    <w:rsid w:val="001026C2"/>
    <w:rsid w:val="00111336"/>
    <w:rsid w:val="00113094"/>
    <w:rsid w:val="0011622B"/>
    <w:rsid w:val="00116C38"/>
    <w:rsid w:val="00117B78"/>
    <w:rsid w:val="001240F8"/>
    <w:rsid w:val="00133F87"/>
    <w:rsid w:val="00140D3A"/>
    <w:rsid w:val="00142FE3"/>
    <w:rsid w:val="00147439"/>
    <w:rsid w:val="0015564C"/>
    <w:rsid w:val="0016791B"/>
    <w:rsid w:val="001716E8"/>
    <w:rsid w:val="00180698"/>
    <w:rsid w:val="001824A8"/>
    <w:rsid w:val="00182E7A"/>
    <w:rsid w:val="00183C9F"/>
    <w:rsid w:val="00185A8A"/>
    <w:rsid w:val="001922A0"/>
    <w:rsid w:val="00192BEB"/>
    <w:rsid w:val="00196D24"/>
    <w:rsid w:val="001972B4"/>
    <w:rsid w:val="001B12A9"/>
    <w:rsid w:val="001B1570"/>
    <w:rsid w:val="001B67A8"/>
    <w:rsid w:val="001C1AC8"/>
    <w:rsid w:val="001C2AC6"/>
    <w:rsid w:val="001C3CD7"/>
    <w:rsid w:val="001C78C1"/>
    <w:rsid w:val="001D320A"/>
    <w:rsid w:val="001D5208"/>
    <w:rsid w:val="001E32FA"/>
    <w:rsid w:val="001E59A1"/>
    <w:rsid w:val="002052C2"/>
    <w:rsid w:val="0022476D"/>
    <w:rsid w:val="00227A4D"/>
    <w:rsid w:val="00227F94"/>
    <w:rsid w:val="00236078"/>
    <w:rsid w:val="00237371"/>
    <w:rsid w:val="00240AB7"/>
    <w:rsid w:val="00241FB9"/>
    <w:rsid w:val="00250B03"/>
    <w:rsid w:val="00251312"/>
    <w:rsid w:val="00265D33"/>
    <w:rsid w:val="00274488"/>
    <w:rsid w:val="0028089E"/>
    <w:rsid w:val="002875C6"/>
    <w:rsid w:val="00291545"/>
    <w:rsid w:val="00293490"/>
    <w:rsid w:val="002A5D7B"/>
    <w:rsid w:val="002A7ED8"/>
    <w:rsid w:val="002C723E"/>
    <w:rsid w:val="002C7A02"/>
    <w:rsid w:val="002D1DAB"/>
    <w:rsid w:val="002E7990"/>
    <w:rsid w:val="002F2985"/>
    <w:rsid w:val="002F4EC0"/>
    <w:rsid w:val="0032128E"/>
    <w:rsid w:val="00322954"/>
    <w:rsid w:val="00331B7E"/>
    <w:rsid w:val="0033334E"/>
    <w:rsid w:val="00341014"/>
    <w:rsid w:val="003509C5"/>
    <w:rsid w:val="0035148E"/>
    <w:rsid w:val="00361368"/>
    <w:rsid w:val="00366D5B"/>
    <w:rsid w:val="0036792A"/>
    <w:rsid w:val="003744EC"/>
    <w:rsid w:val="00390B83"/>
    <w:rsid w:val="003930D2"/>
    <w:rsid w:val="003A2816"/>
    <w:rsid w:val="003A29FA"/>
    <w:rsid w:val="003A2AB3"/>
    <w:rsid w:val="003A351E"/>
    <w:rsid w:val="003A37C4"/>
    <w:rsid w:val="003A59C3"/>
    <w:rsid w:val="003A7321"/>
    <w:rsid w:val="003C07E5"/>
    <w:rsid w:val="003C2234"/>
    <w:rsid w:val="003C4705"/>
    <w:rsid w:val="003D1613"/>
    <w:rsid w:val="003D29DA"/>
    <w:rsid w:val="003E2261"/>
    <w:rsid w:val="003F3E35"/>
    <w:rsid w:val="00402369"/>
    <w:rsid w:val="0040370D"/>
    <w:rsid w:val="004078B2"/>
    <w:rsid w:val="00414988"/>
    <w:rsid w:val="00423A58"/>
    <w:rsid w:val="00435FA0"/>
    <w:rsid w:val="00440658"/>
    <w:rsid w:val="004513C9"/>
    <w:rsid w:val="0045655B"/>
    <w:rsid w:val="004607B7"/>
    <w:rsid w:val="00464BCC"/>
    <w:rsid w:val="00467AE9"/>
    <w:rsid w:val="00473DB4"/>
    <w:rsid w:val="00475116"/>
    <w:rsid w:val="00476E47"/>
    <w:rsid w:val="00477679"/>
    <w:rsid w:val="004779FE"/>
    <w:rsid w:val="00480FB5"/>
    <w:rsid w:val="00484BB5"/>
    <w:rsid w:val="004866EE"/>
    <w:rsid w:val="004873FC"/>
    <w:rsid w:val="00493C71"/>
    <w:rsid w:val="004C53D8"/>
    <w:rsid w:val="004C7005"/>
    <w:rsid w:val="004D1157"/>
    <w:rsid w:val="00500667"/>
    <w:rsid w:val="0050306A"/>
    <w:rsid w:val="00503E0C"/>
    <w:rsid w:val="0051313C"/>
    <w:rsid w:val="0051329D"/>
    <w:rsid w:val="00516404"/>
    <w:rsid w:val="005210A2"/>
    <w:rsid w:val="0052548C"/>
    <w:rsid w:val="0052747B"/>
    <w:rsid w:val="00540524"/>
    <w:rsid w:val="00546442"/>
    <w:rsid w:val="0056210F"/>
    <w:rsid w:val="00566128"/>
    <w:rsid w:val="005716A8"/>
    <w:rsid w:val="0057329A"/>
    <w:rsid w:val="00576A47"/>
    <w:rsid w:val="005817C4"/>
    <w:rsid w:val="00583615"/>
    <w:rsid w:val="00584BFE"/>
    <w:rsid w:val="00586FFC"/>
    <w:rsid w:val="00595C08"/>
    <w:rsid w:val="005A04C2"/>
    <w:rsid w:val="005A21C0"/>
    <w:rsid w:val="005A49E8"/>
    <w:rsid w:val="005A5B3E"/>
    <w:rsid w:val="005B4220"/>
    <w:rsid w:val="005B4658"/>
    <w:rsid w:val="005C0CC6"/>
    <w:rsid w:val="005C1FF0"/>
    <w:rsid w:val="005C6024"/>
    <w:rsid w:val="005C6728"/>
    <w:rsid w:val="005D0A9A"/>
    <w:rsid w:val="005D7A18"/>
    <w:rsid w:val="005E471A"/>
    <w:rsid w:val="005E4EE5"/>
    <w:rsid w:val="005F0892"/>
    <w:rsid w:val="005F2C73"/>
    <w:rsid w:val="005F3BA3"/>
    <w:rsid w:val="005F7513"/>
    <w:rsid w:val="00603469"/>
    <w:rsid w:val="00603D26"/>
    <w:rsid w:val="00614127"/>
    <w:rsid w:val="006218FE"/>
    <w:rsid w:val="00634F1B"/>
    <w:rsid w:val="00641891"/>
    <w:rsid w:val="006424BD"/>
    <w:rsid w:val="00644798"/>
    <w:rsid w:val="00647968"/>
    <w:rsid w:val="0065119C"/>
    <w:rsid w:val="00652AEC"/>
    <w:rsid w:val="00652DAD"/>
    <w:rsid w:val="00655B47"/>
    <w:rsid w:val="00661F08"/>
    <w:rsid w:val="00670FDC"/>
    <w:rsid w:val="006729D7"/>
    <w:rsid w:val="00674616"/>
    <w:rsid w:val="00676565"/>
    <w:rsid w:val="006822C2"/>
    <w:rsid w:val="00682BD1"/>
    <w:rsid w:val="0069513F"/>
    <w:rsid w:val="006A1C15"/>
    <w:rsid w:val="006A37EE"/>
    <w:rsid w:val="006A3DD9"/>
    <w:rsid w:val="006B6B11"/>
    <w:rsid w:val="006D2486"/>
    <w:rsid w:val="006E37B4"/>
    <w:rsid w:val="006E7854"/>
    <w:rsid w:val="006F1C96"/>
    <w:rsid w:val="00703CE2"/>
    <w:rsid w:val="00707796"/>
    <w:rsid w:val="00716A97"/>
    <w:rsid w:val="00737675"/>
    <w:rsid w:val="00740E94"/>
    <w:rsid w:val="007427F2"/>
    <w:rsid w:val="00742DAD"/>
    <w:rsid w:val="007512AF"/>
    <w:rsid w:val="007533C5"/>
    <w:rsid w:val="0075411B"/>
    <w:rsid w:val="007541F1"/>
    <w:rsid w:val="007643C8"/>
    <w:rsid w:val="00765362"/>
    <w:rsid w:val="0076630B"/>
    <w:rsid w:val="0078421A"/>
    <w:rsid w:val="007874C6"/>
    <w:rsid w:val="007912D9"/>
    <w:rsid w:val="00793159"/>
    <w:rsid w:val="007A3335"/>
    <w:rsid w:val="007A5910"/>
    <w:rsid w:val="007D23E0"/>
    <w:rsid w:val="007D35E8"/>
    <w:rsid w:val="007E4C02"/>
    <w:rsid w:val="007E7587"/>
    <w:rsid w:val="007F03A8"/>
    <w:rsid w:val="007F1692"/>
    <w:rsid w:val="007F5F1B"/>
    <w:rsid w:val="007F71CE"/>
    <w:rsid w:val="00811908"/>
    <w:rsid w:val="008407B0"/>
    <w:rsid w:val="00842409"/>
    <w:rsid w:val="00861041"/>
    <w:rsid w:val="008622F5"/>
    <w:rsid w:val="00862CA4"/>
    <w:rsid w:val="00865A9C"/>
    <w:rsid w:val="00867973"/>
    <w:rsid w:val="00882AF7"/>
    <w:rsid w:val="00895CFD"/>
    <w:rsid w:val="008B41DC"/>
    <w:rsid w:val="008B5D7E"/>
    <w:rsid w:val="008B7641"/>
    <w:rsid w:val="008D5E4F"/>
    <w:rsid w:val="008E114A"/>
    <w:rsid w:val="008E6545"/>
    <w:rsid w:val="008F0B86"/>
    <w:rsid w:val="00903BC7"/>
    <w:rsid w:val="00912A8E"/>
    <w:rsid w:val="00913413"/>
    <w:rsid w:val="00914DB2"/>
    <w:rsid w:val="00933444"/>
    <w:rsid w:val="00934F9C"/>
    <w:rsid w:val="0094159D"/>
    <w:rsid w:val="00947A70"/>
    <w:rsid w:val="00956D6B"/>
    <w:rsid w:val="00962B6D"/>
    <w:rsid w:val="00962F24"/>
    <w:rsid w:val="00965629"/>
    <w:rsid w:val="00970EA3"/>
    <w:rsid w:val="009711BF"/>
    <w:rsid w:val="00974BA6"/>
    <w:rsid w:val="0097657F"/>
    <w:rsid w:val="00982245"/>
    <w:rsid w:val="00983637"/>
    <w:rsid w:val="009915E0"/>
    <w:rsid w:val="00997461"/>
    <w:rsid w:val="009B2B4D"/>
    <w:rsid w:val="009B45C9"/>
    <w:rsid w:val="009B55FC"/>
    <w:rsid w:val="009C6F92"/>
    <w:rsid w:val="009D7B17"/>
    <w:rsid w:val="009E153E"/>
    <w:rsid w:val="009E5C42"/>
    <w:rsid w:val="009E65D2"/>
    <w:rsid w:val="009F4F98"/>
    <w:rsid w:val="00A028B7"/>
    <w:rsid w:val="00A05BCB"/>
    <w:rsid w:val="00A107E9"/>
    <w:rsid w:val="00A15B01"/>
    <w:rsid w:val="00A16F7D"/>
    <w:rsid w:val="00A23842"/>
    <w:rsid w:val="00A26E0E"/>
    <w:rsid w:val="00A26E54"/>
    <w:rsid w:val="00A36B14"/>
    <w:rsid w:val="00A46EE7"/>
    <w:rsid w:val="00A47CFB"/>
    <w:rsid w:val="00A53BD3"/>
    <w:rsid w:val="00A63159"/>
    <w:rsid w:val="00A67733"/>
    <w:rsid w:val="00A71A6C"/>
    <w:rsid w:val="00A74502"/>
    <w:rsid w:val="00A77F86"/>
    <w:rsid w:val="00A945D5"/>
    <w:rsid w:val="00AA4F79"/>
    <w:rsid w:val="00AA6301"/>
    <w:rsid w:val="00AA7AB9"/>
    <w:rsid w:val="00AC0944"/>
    <w:rsid w:val="00AC78C8"/>
    <w:rsid w:val="00AD098F"/>
    <w:rsid w:val="00AD4DA0"/>
    <w:rsid w:val="00AE041E"/>
    <w:rsid w:val="00AE32DB"/>
    <w:rsid w:val="00AE6120"/>
    <w:rsid w:val="00AF16E2"/>
    <w:rsid w:val="00B1038B"/>
    <w:rsid w:val="00B10E20"/>
    <w:rsid w:val="00B21528"/>
    <w:rsid w:val="00B27673"/>
    <w:rsid w:val="00B43DC7"/>
    <w:rsid w:val="00B445B3"/>
    <w:rsid w:val="00B47DE4"/>
    <w:rsid w:val="00B545B0"/>
    <w:rsid w:val="00B622CC"/>
    <w:rsid w:val="00B676D5"/>
    <w:rsid w:val="00B70483"/>
    <w:rsid w:val="00B759C5"/>
    <w:rsid w:val="00B75B5B"/>
    <w:rsid w:val="00B83847"/>
    <w:rsid w:val="00B83F96"/>
    <w:rsid w:val="00B86B56"/>
    <w:rsid w:val="00B970D7"/>
    <w:rsid w:val="00BA3889"/>
    <w:rsid w:val="00BB3B54"/>
    <w:rsid w:val="00BC29B8"/>
    <w:rsid w:val="00BC3B1F"/>
    <w:rsid w:val="00BC70A1"/>
    <w:rsid w:val="00BE13CF"/>
    <w:rsid w:val="00BE2BE3"/>
    <w:rsid w:val="00BF658F"/>
    <w:rsid w:val="00C057D4"/>
    <w:rsid w:val="00C100EF"/>
    <w:rsid w:val="00C16BB0"/>
    <w:rsid w:val="00C20759"/>
    <w:rsid w:val="00C209B1"/>
    <w:rsid w:val="00C26BCA"/>
    <w:rsid w:val="00C3066F"/>
    <w:rsid w:val="00C30F37"/>
    <w:rsid w:val="00C31530"/>
    <w:rsid w:val="00C31BF3"/>
    <w:rsid w:val="00C42EB8"/>
    <w:rsid w:val="00C477D6"/>
    <w:rsid w:val="00C50FF3"/>
    <w:rsid w:val="00C54688"/>
    <w:rsid w:val="00C57B58"/>
    <w:rsid w:val="00C57BEA"/>
    <w:rsid w:val="00C6158C"/>
    <w:rsid w:val="00C63428"/>
    <w:rsid w:val="00C74809"/>
    <w:rsid w:val="00C77529"/>
    <w:rsid w:val="00C77B17"/>
    <w:rsid w:val="00C81071"/>
    <w:rsid w:val="00C84AEF"/>
    <w:rsid w:val="00C87256"/>
    <w:rsid w:val="00C87CDC"/>
    <w:rsid w:val="00C93DD5"/>
    <w:rsid w:val="00CA4B80"/>
    <w:rsid w:val="00CA5DA0"/>
    <w:rsid w:val="00CB11E7"/>
    <w:rsid w:val="00CB48A3"/>
    <w:rsid w:val="00CB5ABF"/>
    <w:rsid w:val="00CC112A"/>
    <w:rsid w:val="00CC11AE"/>
    <w:rsid w:val="00CC2E9B"/>
    <w:rsid w:val="00CC2FB5"/>
    <w:rsid w:val="00CC34C2"/>
    <w:rsid w:val="00CC6471"/>
    <w:rsid w:val="00CD7C96"/>
    <w:rsid w:val="00CE35AE"/>
    <w:rsid w:val="00CF23E4"/>
    <w:rsid w:val="00CF2828"/>
    <w:rsid w:val="00D06E36"/>
    <w:rsid w:val="00D07DA1"/>
    <w:rsid w:val="00D1651C"/>
    <w:rsid w:val="00D23463"/>
    <w:rsid w:val="00D2700B"/>
    <w:rsid w:val="00D34665"/>
    <w:rsid w:val="00D42E6C"/>
    <w:rsid w:val="00D42E89"/>
    <w:rsid w:val="00D44BD7"/>
    <w:rsid w:val="00D5255B"/>
    <w:rsid w:val="00D57132"/>
    <w:rsid w:val="00D83066"/>
    <w:rsid w:val="00DA4A6C"/>
    <w:rsid w:val="00DA7D89"/>
    <w:rsid w:val="00DC13E8"/>
    <w:rsid w:val="00DC3811"/>
    <w:rsid w:val="00DC4918"/>
    <w:rsid w:val="00DC56BA"/>
    <w:rsid w:val="00DC5EDF"/>
    <w:rsid w:val="00DC6A93"/>
    <w:rsid w:val="00DD2AD7"/>
    <w:rsid w:val="00DD3D7D"/>
    <w:rsid w:val="00DD6FD1"/>
    <w:rsid w:val="00DE162F"/>
    <w:rsid w:val="00DE7F2B"/>
    <w:rsid w:val="00DF3C00"/>
    <w:rsid w:val="00E07743"/>
    <w:rsid w:val="00E109A6"/>
    <w:rsid w:val="00E15AFA"/>
    <w:rsid w:val="00E16CA9"/>
    <w:rsid w:val="00E172CF"/>
    <w:rsid w:val="00E23390"/>
    <w:rsid w:val="00E25B4A"/>
    <w:rsid w:val="00E30E7D"/>
    <w:rsid w:val="00E3219A"/>
    <w:rsid w:val="00E328BC"/>
    <w:rsid w:val="00E4459A"/>
    <w:rsid w:val="00E44663"/>
    <w:rsid w:val="00E46A4E"/>
    <w:rsid w:val="00E47C82"/>
    <w:rsid w:val="00E61EA1"/>
    <w:rsid w:val="00E64B04"/>
    <w:rsid w:val="00E6750A"/>
    <w:rsid w:val="00E73057"/>
    <w:rsid w:val="00E75078"/>
    <w:rsid w:val="00E80C0C"/>
    <w:rsid w:val="00EA07C7"/>
    <w:rsid w:val="00ED6B88"/>
    <w:rsid w:val="00EF1E96"/>
    <w:rsid w:val="00F045EB"/>
    <w:rsid w:val="00F12E78"/>
    <w:rsid w:val="00F13C70"/>
    <w:rsid w:val="00F150DF"/>
    <w:rsid w:val="00F160D3"/>
    <w:rsid w:val="00F24FB4"/>
    <w:rsid w:val="00F30E6C"/>
    <w:rsid w:val="00F32C5C"/>
    <w:rsid w:val="00F51892"/>
    <w:rsid w:val="00F51CE1"/>
    <w:rsid w:val="00F52E7C"/>
    <w:rsid w:val="00F650D2"/>
    <w:rsid w:val="00F67075"/>
    <w:rsid w:val="00F73CE8"/>
    <w:rsid w:val="00F81BD5"/>
    <w:rsid w:val="00F84A73"/>
    <w:rsid w:val="00F86A31"/>
    <w:rsid w:val="00F879DB"/>
    <w:rsid w:val="00F927AA"/>
    <w:rsid w:val="00F96302"/>
    <w:rsid w:val="00F9716A"/>
    <w:rsid w:val="00FA136D"/>
    <w:rsid w:val="00FA6294"/>
    <w:rsid w:val="00FB4E00"/>
    <w:rsid w:val="00FB717D"/>
    <w:rsid w:val="00FB776B"/>
    <w:rsid w:val="00FC7CB4"/>
    <w:rsid w:val="00FD041C"/>
    <w:rsid w:val="00FD0791"/>
    <w:rsid w:val="00FD1376"/>
    <w:rsid w:val="00FE5F2D"/>
    <w:rsid w:val="00FE692D"/>
    <w:rsid w:val="00FF208D"/>
    <w:rsid w:val="00FF7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EE7"/>
    <w:pPr>
      <w:spacing w:after="200" w:line="276" w:lineRule="auto"/>
    </w:pPr>
    <w:rPr>
      <w:kern w:val="0"/>
      <w:sz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6E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6EE7"/>
    <w:rPr>
      <w:sz w:val="18"/>
      <w:szCs w:val="18"/>
    </w:rPr>
  </w:style>
  <w:style w:type="paragraph" w:styleId="a4">
    <w:name w:val="footer"/>
    <w:basedOn w:val="a"/>
    <w:link w:val="Char0"/>
    <w:uiPriority w:val="99"/>
    <w:unhideWhenUsed/>
    <w:rsid w:val="00A46EE7"/>
    <w:pPr>
      <w:tabs>
        <w:tab w:val="center" w:pos="4153"/>
        <w:tab w:val="right" w:pos="8306"/>
      </w:tabs>
      <w:snapToGrid w:val="0"/>
    </w:pPr>
    <w:rPr>
      <w:sz w:val="18"/>
      <w:szCs w:val="18"/>
    </w:rPr>
  </w:style>
  <w:style w:type="character" w:customStyle="1" w:styleId="Char0">
    <w:name w:val="页脚 Char"/>
    <w:basedOn w:val="a0"/>
    <w:link w:val="a4"/>
    <w:uiPriority w:val="99"/>
    <w:rsid w:val="00A46EE7"/>
    <w:rPr>
      <w:sz w:val="18"/>
      <w:szCs w:val="18"/>
    </w:rPr>
  </w:style>
  <w:style w:type="paragraph" w:styleId="a5">
    <w:name w:val="List Paragraph"/>
    <w:basedOn w:val="a"/>
    <w:uiPriority w:val="34"/>
    <w:qFormat/>
    <w:rsid w:val="00A46EE7"/>
    <w:pPr>
      <w:ind w:left="720"/>
      <w:contextualSpacing/>
    </w:pPr>
  </w:style>
  <w:style w:type="table" w:styleId="a6">
    <w:name w:val="Table Grid"/>
    <w:basedOn w:val="a1"/>
    <w:uiPriority w:val="59"/>
    <w:rsid w:val="00A46EE7"/>
    <w:rPr>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A46EE7"/>
    <w:rPr>
      <w:color w:val="0000FF" w:themeColor="hyperlink"/>
      <w:u w:val="single"/>
    </w:rPr>
  </w:style>
  <w:style w:type="table" w:customStyle="1" w:styleId="TableGrid2">
    <w:name w:val="Table Grid2"/>
    <w:basedOn w:val="a1"/>
    <w:next w:val="a6"/>
    <w:uiPriority w:val="59"/>
    <w:rsid w:val="003E2261"/>
    <w:rPr>
      <w:rFonts w:ascii="Calibri" w:eastAsia="Calibri" w:hAnsi="Calibri" w:cs="Times New Roman"/>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2261"/>
    <w:pPr>
      <w:autoSpaceDE w:val="0"/>
      <w:autoSpaceDN w:val="0"/>
      <w:adjustRightInd w:val="0"/>
    </w:pPr>
    <w:rPr>
      <w:rFonts w:ascii="Cambria" w:hAnsi="Cambria" w:cs="Cambria"/>
      <w:color w:val="000000"/>
      <w:kern w:val="0"/>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EE7"/>
    <w:pPr>
      <w:spacing w:after="200" w:line="276" w:lineRule="auto"/>
    </w:pPr>
    <w:rPr>
      <w:kern w:val="0"/>
      <w:sz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6E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6EE7"/>
    <w:rPr>
      <w:sz w:val="18"/>
      <w:szCs w:val="18"/>
    </w:rPr>
  </w:style>
  <w:style w:type="paragraph" w:styleId="a4">
    <w:name w:val="footer"/>
    <w:basedOn w:val="a"/>
    <w:link w:val="Char0"/>
    <w:uiPriority w:val="99"/>
    <w:unhideWhenUsed/>
    <w:rsid w:val="00A46EE7"/>
    <w:pPr>
      <w:tabs>
        <w:tab w:val="center" w:pos="4153"/>
        <w:tab w:val="right" w:pos="8306"/>
      </w:tabs>
      <w:snapToGrid w:val="0"/>
    </w:pPr>
    <w:rPr>
      <w:sz w:val="18"/>
      <w:szCs w:val="18"/>
    </w:rPr>
  </w:style>
  <w:style w:type="character" w:customStyle="1" w:styleId="Char0">
    <w:name w:val="页脚 Char"/>
    <w:basedOn w:val="a0"/>
    <w:link w:val="a4"/>
    <w:uiPriority w:val="99"/>
    <w:rsid w:val="00A46EE7"/>
    <w:rPr>
      <w:sz w:val="18"/>
      <w:szCs w:val="18"/>
    </w:rPr>
  </w:style>
  <w:style w:type="paragraph" w:styleId="a5">
    <w:name w:val="List Paragraph"/>
    <w:basedOn w:val="a"/>
    <w:uiPriority w:val="34"/>
    <w:qFormat/>
    <w:rsid w:val="00A46EE7"/>
    <w:pPr>
      <w:ind w:left="720"/>
      <w:contextualSpacing/>
    </w:pPr>
  </w:style>
  <w:style w:type="table" w:styleId="a6">
    <w:name w:val="Table Grid"/>
    <w:basedOn w:val="a1"/>
    <w:uiPriority w:val="59"/>
    <w:rsid w:val="00A46EE7"/>
    <w:rPr>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A46EE7"/>
    <w:rPr>
      <w:color w:val="0000FF" w:themeColor="hyperlink"/>
      <w:u w:val="single"/>
    </w:rPr>
  </w:style>
  <w:style w:type="table" w:customStyle="1" w:styleId="TableGrid2">
    <w:name w:val="Table Grid2"/>
    <w:basedOn w:val="a1"/>
    <w:next w:val="a6"/>
    <w:uiPriority w:val="59"/>
    <w:rsid w:val="003E2261"/>
    <w:rPr>
      <w:rFonts w:ascii="Calibri" w:eastAsia="Calibri" w:hAnsi="Calibri" w:cs="Times New Roman"/>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2261"/>
    <w:pPr>
      <w:autoSpaceDE w:val="0"/>
      <w:autoSpaceDN w:val="0"/>
      <w:adjustRightInd w:val="0"/>
    </w:pPr>
    <w:rPr>
      <w:rFonts w:ascii="Cambria" w:hAnsi="Cambria" w:cs="Cambria"/>
      <w:color w:val="000000"/>
      <w:kern w:val="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ongqi@nsfc.gov.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rfbr.ru/rffi/ru/contest/n_812/o_2109210" TargetMode="External"/><Relationship Id="rId4" Type="http://schemas.openxmlformats.org/officeDocument/2006/relationships/settings" Target="settings.xml"/><Relationship Id="rId9" Type="http://schemas.openxmlformats.org/officeDocument/2006/relationships/hyperlink" Target="mailto:mazin@rfbr.r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890</Words>
  <Characters>5075</Characters>
  <Application>Microsoft Office Word</Application>
  <DocSecurity>0</DocSecurity>
  <Lines>42</Lines>
  <Paragraphs>11</Paragraphs>
  <ScaleCrop>false</ScaleCrop>
  <Company/>
  <LinksUpToDate>false</LinksUpToDate>
  <CharactersWithSpaces>5954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徐进(xujin)</dc:creator>
  <cp:keywords/>
  <dc:description/>
  <cp:lastModifiedBy>徐进(xujin)</cp:lastModifiedBy>
  <cp:revision>4</cp:revision>
  <dcterms:created xsi:type="dcterms:W3CDTF">2020-09-22T06:44:00Z</dcterms:created>
  <dcterms:modified xsi:type="dcterms:W3CDTF">2020-09-22T07:42:00Z</dcterms:modified>
</cp:coreProperties>
</file>