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6E" w:rsidRPr="001C193C" w:rsidRDefault="00693C6E" w:rsidP="00693C6E">
      <w:pPr>
        <w:rPr>
          <w:rFonts w:ascii="Arial" w:hAnsi="Arial" w:cs="Arial"/>
          <w:b/>
          <w:sz w:val="21"/>
          <w:szCs w:val="21"/>
        </w:rPr>
      </w:pPr>
      <w:r w:rsidRPr="001C193C">
        <w:rPr>
          <w:rFonts w:ascii="Arial" w:hAnsi="Arial" w:cs="Arial"/>
          <w:b/>
          <w:sz w:val="21"/>
          <w:szCs w:val="21"/>
        </w:rPr>
        <w:t>Annex</w:t>
      </w:r>
      <w:r>
        <w:rPr>
          <w:rFonts w:ascii="Arial" w:hAnsi="Arial" w:cs="Arial" w:hint="eastAsia"/>
          <w:b/>
          <w:sz w:val="21"/>
          <w:szCs w:val="21"/>
          <w:lang w:eastAsia="zh-CN"/>
        </w:rPr>
        <w:t xml:space="preserve"> 1</w:t>
      </w:r>
      <w:bookmarkStart w:id="0" w:name="_GoBack"/>
      <w:bookmarkEnd w:id="0"/>
      <w:r>
        <w:rPr>
          <w:rFonts w:ascii="Arial" w:hAnsi="Arial" w:cs="Arial" w:hint="eastAsia"/>
          <w:b/>
          <w:sz w:val="21"/>
          <w:szCs w:val="21"/>
          <w:lang w:eastAsia="zh-CN"/>
        </w:rPr>
        <w:t>：</w:t>
      </w:r>
      <w:r>
        <w:rPr>
          <w:rFonts w:ascii="Arial" w:hAnsi="Arial" w:cs="Arial" w:hint="eastAsia"/>
          <w:b/>
          <w:sz w:val="21"/>
          <w:szCs w:val="21"/>
          <w:lang w:eastAsia="zh-CN"/>
        </w:rPr>
        <w:t xml:space="preserve"> </w:t>
      </w:r>
      <w:r w:rsidRPr="001C193C">
        <w:rPr>
          <w:rFonts w:ascii="Arial" w:hAnsi="Arial" w:cs="Arial"/>
          <w:b/>
          <w:sz w:val="21"/>
          <w:szCs w:val="21"/>
        </w:rPr>
        <w:t>Additional guidance for Turkish applicants</w:t>
      </w:r>
    </w:p>
    <w:tbl>
      <w:tblPr>
        <w:tblStyle w:val="a6"/>
        <w:tblW w:w="0" w:type="auto"/>
        <w:tblLayout w:type="fixed"/>
        <w:tblLook w:val="04A0" w:firstRow="1" w:lastRow="0" w:firstColumn="1" w:lastColumn="0" w:noHBand="0" w:noVBand="1"/>
      </w:tblPr>
      <w:tblGrid>
        <w:gridCol w:w="1458"/>
        <w:gridCol w:w="7784"/>
      </w:tblGrid>
      <w:tr w:rsidR="00693C6E" w:rsidRPr="00BF5C27" w:rsidTr="00E9144B">
        <w:tc>
          <w:tcPr>
            <w:tcW w:w="1458" w:type="dxa"/>
          </w:tcPr>
          <w:p w:rsidR="00693C6E" w:rsidRPr="00BF5C27" w:rsidRDefault="00693C6E" w:rsidP="00E9144B">
            <w:pPr>
              <w:spacing w:line="280" w:lineRule="exact"/>
              <w:jc w:val="both"/>
              <w:rPr>
                <w:rFonts w:ascii="Arial" w:hAnsi="Arial" w:cs="Arial"/>
                <w:b/>
                <w:sz w:val="21"/>
                <w:szCs w:val="21"/>
              </w:rPr>
            </w:pPr>
            <w:r w:rsidRPr="00BF5C27">
              <w:rPr>
                <w:rFonts w:ascii="Arial" w:hAnsi="Arial" w:cs="Arial"/>
                <w:b/>
                <w:sz w:val="21"/>
                <w:szCs w:val="21"/>
              </w:rPr>
              <w:t>Funding Agency</w:t>
            </w:r>
          </w:p>
        </w:tc>
        <w:tc>
          <w:tcPr>
            <w:tcW w:w="7784" w:type="dxa"/>
          </w:tcPr>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The Scientific and Technological Research Council (TÜBİTAK)</w:t>
            </w:r>
          </w:p>
        </w:tc>
      </w:tr>
      <w:tr w:rsidR="00693C6E" w:rsidRPr="00BF5C27" w:rsidTr="00E9144B">
        <w:tc>
          <w:tcPr>
            <w:tcW w:w="1458" w:type="dxa"/>
          </w:tcPr>
          <w:p w:rsidR="00693C6E" w:rsidRPr="003B7CDE" w:rsidRDefault="00693C6E" w:rsidP="00E9144B">
            <w:pPr>
              <w:spacing w:line="280" w:lineRule="exact"/>
              <w:jc w:val="both"/>
              <w:rPr>
                <w:rFonts w:ascii="Arial" w:hAnsi="Arial" w:cs="Arial"/>
                <w:b/>
                <w:sz w:val="21"/>
                <w:szCs w:val="21"/>
              </w:rPr>
            </w:pPr>
            <w:r w:rsidRPr="00BF5C27">
              <w:rPr>
                <w:rFonts w:ascii="Arial" w:hAnsi="Arial" w:cs="Arial"/>
                <w:b/>
                <w:sz w:val="21"/>
                <w:szCs w:val="21"/>
              </w:rPr>
              <w:t>Eligibility</w:t>
            </w:r>
          </w:p>
        </w:tc>
        <w:tc>
          <w:tcPr>
            <w:tcW w:w="7784" w:type="dxa"/>
          </w:tcPr>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 xml:space="preserve">Only projects that fit to the call topics mentioned in the Call Guidance can be funded. </w:t>
            </w:r>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 xml:space="preserve">Proposals may be submitted by </w:t>
            </w:r>
            <w:r>
              <w:rPr>
                <w:rFonts w:ascii="Arial" w:hAnsi="Arial" w:cs="Arial"/>
                <w:sz w:val="21"/>
                <w:szCs w:val="21"/>
              </w:rPr>
              <w:t xml:space="preserve">academy, </w:t>
            </w:r>
            <w:r w:rsidRPr="00BF5C27">
              <w:rPr>
                <w:rFonts w:ascii="Arial" w:hAnsi="Arial" w:cs="Arial"/>
                <w:sz w:val="21"/>
                <w:szCs w:val="21"/>
              </w:rPr>
              <w:t xml:space="preserve">public </w:t>
            </w:r>
            <w:r>
              <w:rPr>
                <w:rFonts w:ascii="Arial" w:hAnsi="Arial" w:cs="Arial"/>
                <w:sz w:val="21"/>
                <w:szCs w:val="21"/>
              </w:rPr>
              <w:t xml:space="preserve">or </w:t>
            </w:r>
            <w:r w:rsidRPr="00BF5C27">
              <w:rPr>
                <w:rFonts w:ascii="Arial" w:hAnsi="Arial" w:cs="Arial"/>
                <w:sz w:val="21"/>
                <w:szCs w:val="21"/>
              </w:rPr>
              <w:t xml:space="preserve">private sector. All Turkish researchers applying to this call should be registered at TÜBİTAK ARBİS (Researcher Information system) through the following link: https://arbis.tubitak.gov.tr. </w:t>
            </w:r>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 xml:space="preserve">The Principal Investigator (PI), is expected to hold a PhD degree if he/she is from the academy. If the PI is from the public or private sector, he/she must have a BA/BSc Degree. Also, if the PI is from the private sector, he/she must be working there full-time for at least a minimum of 6 months. </w:t>
            </w:r>
          </w:p>
          <w:p w:rsidR="00693C6E" w:rsidRPr="00BF5C27" w:rsidRDefault="00693C6E" w:rsidP="00E9144B">
            <w:pPr>
              <w:spacing w:line="280" w:lineRule="exact"/>
              <w:rPr>
                <w:rFonts w:ascii="Arial" w:hAnsi="Arial" w:cs="Arial"/>
                <w:sz w:val="21"/>
                <w:szCs w:val="21"/>
              </w:rPr>
            </w:pPr>
            <w:r w:rsidRPr="00BF5C27">
              <w:rPr>
                <w:rFonts w:ascii="Arial" w:hAnsi="Arial" w:cs="Arial"/>
                <w:sz w:val="21"/>
                <w:szCs w:val="21"/>
              </w:rPr>
              <w:t xml:space="preserve">Further information available at:  </w:t>
            </w:r>
            <w:hyperlink r:id="rId7" w:history="1">
              <w:r w:rsidRPr="00BF5C27">
                <w:rPr>
                  <w:rStyle w:val="a7"/>
                  <w:rFonts w:ascii="Arial" w:hAnsi="Arial" w:cs="Arial"/>
                  <w:sz w:val="21"/>
                  <w:szCs w:val="21"/>
                </w:rPr>
                <w:t>https://www.tubitak.gov.tr/sites/default/files/3125/1071_arastirma_projeleri_surec_dokumani.pdf</w:t>
              </w:r>
            </w:hyperlink>
          </w:p>
        </w:tc>
      </w:tr>
      <w:tr w:rsidR="00693C6E" w:rsidRPr="00BF5C27" w:rsidTr="00E9144B">
        <w:trPr>
          <w:trHeight w:val="806"/>
        </w:trPr>
        <w:tc>
          <w:tcPr>
            <w:tcW w:w="1458" w:type="dxa"/>
          </w:tcPr>
          <w:p w:rsidR="00693C6E" w:rsidRPr="003B7CDE" w:rsidRDefault="00693C6E" w:rsidP="00E9144B">
            <w:pPr>
              <w:spacing w:line="280" w:lineRule="exact"/>
              <w:jc w:val="both"/>
              <w:rPr>
                <w:rFonts w:ascii="Arial" w:hAnsi="Arial" w:cs="Arial"/>
                <w:b/>
                <w:sz w:val="21"/>
                <w:szCs w:val="21"/>
              </w:rPr>
            </w:pPr>
            <w:r w:rsidRPr="00BF5C27">
              <w:rPr>
                <w:rFonts w:ascii="Arial" w:hAnsi="Arial" w:cs="Arial"/>
                <w:b/>
                <w:sz w:val="21"/>
                <w:szCs w:val="21"/>
              </w:rPr>
              <w:t>Budget</w:t>
            </w:r>
          </w:p>
        </w:tc>
        <w:tc>
          <w:tcPr>
            <w:tcW w:w="7784" w:type="dxa"/>
          </w:tcPr>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TÜBİTAK funds up to 720.000 Turkish Liras (excl. overhead and Project Incentive Premium-PIP) per project under the financial principles of TÜBİTAK 1071 Program</w:t>
            </w:r>
            <w:r>
              <w:rPr>
                <w:rFonts w:ascii="Arial" w:hAnsi="Arial" w:cs="Arial"/>
                <w:sz w:val="21"/>
                <w:szCs w:val="21"/>
              </w:rPr>
              <w:t>.</w:t>
            </w:r>
            <w:r w:rsidRPr="00BF5C27">
              <w:rPr>
                <w:rFonts w:ascii="Arial" w:hAnsi="Arial" w:cs="Arial"/>
                <w:sz w:val="21"/>
                <w:szCs w:val="21"/>
              </w:rPr>
              <w:t xml:space="preserve"> </w:t>
            </w:r>
          </w:p>
          <w:p w:rsidR="00693C6E" w:rsidRDefault="00693C6E" w:rsidP="00E9144B">
            <w:pPr>
              <w:spacing w:line="280" w:lineRule="exact"/>
              <w:jc w:val="both"/>
              <w:rPr>
                <w:rFonts w:ascii="Arial" w:hAnsi="Arial" w:cs="Arial"/>
                <w:sz w:val="21"/>
                <w:szCs w:val="21"/>
                <w:lang w:eastAsia="zh-CN"/>
              </w:rPr>
            </w:pPr>
            <w:r w:rsidRPr="00BF5C27">
              <w:rPr>
                <w:rFonts w:ascii="Arial" w:hAnsi="Arial" w:cs="Arial"/>
                <w:sz w:val="21"/>
                <w:szCs w:val="21"/>
              </w:rPr>
              <w:t>P</w:t>
            </w:r>
            <w:r w:rsidRPr="003B7CDE">
              <w:rPr>
                <w:rFonts w:ascii="Arial" w:hAnsi="Arial" w:cs="Arial"/>
                <w:sz w:val="21"/>
                <w:szCs w:val="21"/>
              </w:rPr>
              <w:t>lease check the application rules for Turkish side</w:t>
            </w:r>
            <w:r>
              <w:rPr>
                <w:rFonts w:ascii="Arial" w:hAnsi="Arial" w:cs="Arial" w:hint="eastAsia"/>
                <w:sz w:val="21"/>
                <w:szCs w:val="21"/>
                <w:lang w:eastAsia="zh-CN"/>
              </w:rPr>
              <w:t>:</w:t>
            </w:r>
          </w:p>
          <w:p w:rsidR="00693C6E" w:rsidRPr="00BF5C27" w:rsidRDefault="00693C6E" w:rsidP="00E9144B">
            <w:pPr>
              <w:spacing w:line="280" w:lineRule="exact"/>
              <w:jc w:val="both"/>
              <w:rPr>
                <w:rFonts w:ascii="Arial" w:hAnsi="Arial" w:cs="Arial"/>
                <w:sz w:val="21"/>
                <w:szCs w:val="21"/>
              </w:rPr>
            </w:pPr>
            <w:hyperlink r:id="rId8" w:history="1">
              <w:r w:rsidRPr="00BF5C27">
                <w:rPr>
                  <w:rStyle w:val="a7"/>
                  <w:rFonts w:ascii="Arial" w:hAnsi="Arial" w:cs="Arial"/>
                  <w:sz w:val="21"/>
                  <w:szCs w:val="21"/>
                </w:rPr>
                <w:t>https://www.tubitak.gov.tr/sites/default/files/3125/1071_arastirma_projeleri_surec_dokumani.pdf</w:t>
              </w:r>
            </w:hyperlink>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Total duration of international visits should not exceed two months (60 days) per year for the each supported joint research project. In the case of bilateral travel, economic class air tickets and daily allowance shall be paid in accordance with the provisions of the per diem Law No. 6245.</w:t>
            </w:r>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The costs of exchange of experts, scientists and other specialists will be covered on the following basis:</w:t>
            </w:r>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•The sending Party will meet all related costs connected with travel, lodging and allowances according to their own regulations.</w:t>
            </w:r>
          </w:p>
          <w:p w:rsidR="00693C6E" w:rsidRPr="00BF5C27" w:rsidRDefault="00693C6E" w:rsidP="00E9144B">
            <w:pPr>
              <w:spacing w:line="280" w:lineRule="exact"/>
              <w:jc w:val="both"/>
              <w:rPr>
                <w:rFonts w:ascii="Arial" w:hAnsi="Arial" w:cs="Arial"/>
                <w:sz w:val="21"/>
                <w:szCs w:val="21"/>
              </w:rPr>
            </w:pPr>
            <w:r w:rsidRPr="00BF5C27">
              <w:rPr>
                <w:rFonts w:ascii="Arial" w:hAnsi="Arial" w:cs="Arial"/>
                <w:sz w:val="21"/>
                <w:szCs w:val="21"/>
              </w:rPr>
              <w:t>•The sending Party shall be responsible for the emergency health insurance of its scientists.</w:t>
            </w:r>
          </w:p>
        </w:tc>
      </w:tr>
      <w:tr w:rsidR="00693C6E" w:rsidRPr="00BF5C27" w:rsidTr="00E9144B">
        <w:trPr>
          <w:trHeight w:val="742"/>
        </w:trPr>
        <w:tc>
          <w:tcPr>
            <w:tcW w:w="1458" w:type="dxa"/>
          </w:tcPr>
          <w:p w:rsidR="00693C6E" w:rsidRPr="00BF5C27" w:rsidRDefault="00693C6E" w:rsidP="00E9144B">
            <w:pPr>
              <w:spacing w:line="280" w:lineRule="exact"/>
              <w:jc w:val="both"/>
              <w:rPr>
                <w:rFonts w:ascii="Arial" w:hAnsi="Arial" w:cs="Arial"/>
                <w:b/>
                <w:sz w:val="21"/>
                <w:szCs w:val="21"/>
              </w:rPr>
            </w:pPr>
            <w:r w:rsidRPr="00BF5C27">
              <w:rPr>
                <w:rFonts w:ascii="Arial" w:hAnsi="Arial" w:cs="Arial"/>
                <w:b/>
                <w:sz w:val="21"/>
                <w:szCs w:val="21"/>
              </w:rPr>
              <w:t>Eligible costs</w:t>
            </w:r>
          </w:p>
        </w:tc>
        <w:tc>
          <w:tcPr>
            <w:tcW w:w="7784" w:type="dxa"/>
          </w:tcPr>
          <w:p w:rsidR="00693C6E" w:rsidRDefault="00693C6E" w:rsidP="00E9144B">
            <w:pPr>
              <w:spacing w:line="280" w:lineRule="exact"/>
              <w:jc w:val="both"/>
              <w:rPr>
                <w:rFonts w:ascii="Arial" w:hAnsi="Arial" w:cs="Arial"/>
                <w:sz w:val="21"/>
                <w:szCs w:val="21"/>
                <w:lang w:eastAsia="zh-CN"/>
              </w:rPr>
            </w:pPr>
            <w:r w:rsidRPr="00BF5C27">
              <w:rPr>
                <w:rFonts w:ascii="Arial" w:hAnsi="Arial" w:cs="Arial"/>
                <w:sz w:val="21"/>
                <w:szCs w:val="21"/>
              </w:rPr>
              <w:t>F</w:t>
            </w:r>
            <w:r>
              <w:rPr>
                <w:rFonts w:ascii="Arial" w:hAnsi="Arial" w:cs="Arial"/>
                <w:sz w:val="21"/>
                <w:szCs w:val="21"/>
              </w:rPr>
              <w:t xml:space="preserve">or </w:t>
            </w:r>
            <w:r w:rsidRPr="00BF5C27">
              <w:rPr>
                <w:rFonts w:ascii="Arial" w:hAnsi="Arial" w:cs="Arial"/>
                <w:sz w:val="21"/>
                <w:szCs w:val="21"/>
              </w:rPr>
              <w:t>eligible costs, please check</w:t>
            </w:r>
          </w:p>
          <w:p w:rsidR="00693C6E" w:rsidRPr="00BF5C27" w:rsidRDefault="00693C6E" w:rsidP="00E9144B">
            <w:pPr>
              <w:spacing w:line="280" w:lineRule="exact"/>
              <w:jc w:val="both"/>
              <w:rPr>
                <w:rFonts w:ascii="Arial" w:hAnsi="Arial" w:cs="Arial"/>
                <w:sz w:val="21"/>
                <w:szCs w:val="21"/>
              </w:rPr>
            </w:pPr>
            <w:hyperlink r:id="rId9" w:history="1">
              <w:r w:rsidRPr="00BF5C27">
                <w:rPr>
                  <w:rStyle w:val="a7"/>
                  <w:rFonts w:ascii="Arial" w:hAnsi="Arial" w:cs="Arial"/>
                  <w:sz w:val="21"/>
                  <w:szCs w:val="21"/>
                </w:rPr>
                <w:t>https://www.tubitak.gov.tr/sites/default/files/3125/1071_arastirma_projeleri_surec_dokumani.pdf</w:t>
              </w:r>
            </w:hyperlink>
          </w:p>
        </w:tc>
      </w:tr>
      <w:tr w:rsidR="00693C6E" w:rsidRPr="00BF5C27" w:rsidTr="00E9144B">
        <w:tc>
          <w:tcPr>
            <w:tcW w:w="1458" w:type="dxa"/>
          </w:tcPr>
          <w:p w:rsidR="00693C6E" w:rsidRPr="00BF5C27" w:rsidRDefault="00693C6E" w:rsidP="00E9144B">
            <w:pPr>
              <w:spacing w:line="280" w:lineRule="exact"/>
              <w:jc w:val="both"/>
              <w:rPr>
                <w:rFonts w:ascii="Arial" w:hAnsi="Arial" w:cs="Arial"/>
                <w:b/>
                <w:sz w:val="21"/>
                <w:szCs w:val="21"/>
              </w:rPr>
            </w:pPr>
            <w:r w:rsidRPr="00BF5C27">
              <w:rPr>
                <w:rFonts w:ascii="Arial" w:hAnsi="Arial" w:cs="Arial"/>
                <w:b/>
                <w:sz w:val="21"/>
                <w:szCs w:val="21"/>
              </w:rPr>
              <w:t>Documents required</w:t>
            </w:r>
          </w:p>
        </w:tc>
        <w:tc>
          <w:tcPr>
            <w:tcW w:w="7784" w:type="dxa"/>
          </w:tcPr>
          <w:p w:rsidR="00693C6E" w:rsidRPr="001C193C" w:rsidRDefault="00693C6E" w:rsidP="00E9144B">
            <w:pPr>
              <w:spacing w:line="280" w:lineRule="exact"/>
              <w:jc w:val="both"/>
              <w:rPr>
                <w:rFonts w:ascii="Arial" w:hAnsi="Arial" w:cs="Arial"/>
                <w:sz w:val="21"/>
                <w:szCs w:val="21"/>
                <w:lang w:eastAsia="zh-CN"/>
              </w:rPr>
            </w:pPr>
            <w:r w:rsidRPr="001C193C">
              <w:rPr>
                <w:rFonts w:ascii="Arial" w:hAnsi="Arial" w:cs="Arial"/>
                <w:sz w:val="21"/>
                <w:szCs w:val="21"/>
                <w:lang w:eastAsia="zh-CN"/>
              </w:rPr>
              <w:t>The partners should come to an agreement with each other using their own means of communication and jointly develop and complete their project proposal before submitting it to TÜBİTAK. The proposals should be jointly prepared by</w:t>
            </w:r>
            <w:r w:rsidRPr="001C193C">
              <w:rPr>
                <w:rFonts w:ascii="Arial" w:hAnsi="Arial" w:cs="Arial"/>
                <w:sz w:val="21"/>
                <w:szCs w:val="21"/>
              </w:rPr>
              <w:t xml:space="preserve"> all </w:t>
            </w:r>
            <w:r w:rsidRPr="001C193C">
              <w:rPr>
                <w:rFonts w:ascii="Arial" w:hAnsi="Arial" w:cs="Arial"/>
                <w:sz w:val="21"/>
                <w:szCs w:val="21"/>
                <w:lang w:eastAsia="zh-CN"/>
              </w:rPr>
              <w:lastRenderedPageBreak/>
              <w:t>partners and should be prepared in English. Project proposals must provide detailed information on the objectives and justification of the planned joint research work, the methodology to be followed, the composition of each research team and the intended time schedule.</w:t>
            </w:r>
          </w:p>
          <w:p w:rsidR="00693C6E" w:rsidRDefault="00693C6E" w:rsidP="00E9144B">
            <w:pPr>
              <w:spacing w:line="280" w:lineRule="exact"/>
              <w:jc w:val="both"/>
              <w:rPr>
                <w:rFonts w:ascii="Arial" w:hAnsi="Arial" w:cs="Arial"/>
                <w:sz w:val="21"/>
                <w:szCs w:val="21"/>
                <w:lang w:eastAsia="zh-CN"/>
              </w:rPr>
            </w:pPr>
            <w:r w:rsidRPr="001C193C">
              <w:rPr>
                <w:rFonts w:ascii="Arial" w:hAnsi="Arial" w:cs="Arial"/>
                <w:sz w:val="21"/>
                <w:szCs w:val="21"/>
                <w:lang w:eastAsia="zh-CN"/>
              </w:rPr>
              <w:t>Turkish partners will make their joint online application via TÜBİTAK’s Project Application System (</w:t>
            </w:r>
            <w:hyperlink r:id="rId10" w:history="1">
              <w:r w:rsidRPr="000D4298">
                <w:rPr>
                  <w:rStyle w:val="a7"/>
                  <w:rFonts w:ascii="Arial" w:hAnsi="Arial" w:cs="Arial"/>
                  <w:sz w:val="21"/>
                  <w:szCs w:val="21"/>
                  <w:lang w:eastAsia="zh-CN"/>
                </w:rPr>
                <w:t>http://uidb-pbs.tubitak.gov.tr</w:t>
              </w:r>
            </w:hyperlink>
            <w:r w:rsidRPr="001C193C">
              <w:rPr>
                <w:rFonts w:ascii="Arial" w:hAnsi="Arial" w:cs="Arial"/>
                <w:sz w:val="21"/>
                <w:szCs w:val="21"/>
                <w:lang w:eastAsia="zh-CN"/>
              </w:rPr>
              <w:t>). Turkish partners will use E-Signature for their applications. Detailed information</w:t>
            </w:r>
            <w:r>
              <w:rPr>
                <w:rFonts w:ascii="Arial" w:hAnsi="Arial" w:cs="Arial" w:hint="eastAsia"/>
                <w:sz w:val="21"/>
                <w:szCs w:val="21"/>
                <w:lang w:eastAsia="zh-CN"/>
              </w:rPr>
              <w:t xml:space="preserve"> </w:t>
            </w:r>
            <w:r w:rsidRPr="001C193C">
              <w:rPr>
                <w:rFonts w:ascii="Arial" w:hAnsi="Arial" w:cs="Arial"/>
                <w:sz w:val="21"/>
                <w:szCs w:val="21"/>
                <w:lang w:eastAsia="zh-CN"/>
              </w:rPr>
              <w:t>can be achieved via</w:t>
            </w:r>
            <w:r>
              <w:rPr>
                <w:rFonts w:ascii="Arial" w:hAnsi="Arial" w:cs="Arial" w:hint="eastAsia"/>
                <w:sz w:val="21"/>
                <w:szCs w:val="21"/>
                <w:lang w:eastAsia="zh-CN"/>
              </w:rPr>
              <w:t>:</w:t>
            </w:r>
          </w:p>
          <w:p w:rsidR="00693C6E" w:rsidRPr="001C193C" w:rsidRDefault="00693C6E" w:rsidP="00E9144B">
            <w:pPr>
              <w:spacing w:line="280" w:lineRule="exact"/>
              <w:jc w:val="both"/>
            </w:pPr>
            <w:hyperlink r:id="rId11" w:history="1">
              <w:r w:rsidRPr="000D4298">
                <w:rPr>
                  <w:rStyle w:val="a7"/>
                  <w:rFonts w:ascii="Arial" w:hAnsi="Arial" w:cs="Arial"/>
                  <w:sz w:val="21"/>
                  <w:szCs w:val="21"/>
                  <w:lang w:eastAsia="zh-CN"/>
                </w:rPr>
                <w:t>http://www.tubitak.gov.tr/sites/default/files/281/ardeb_e-imza_yardim_dokumani.pdf</w:t>
              </w:r>
            </w:hyperlink>
            <w:r w:rsidRPr="001C193C">
              <w:rPr>
                <w:rFonts w:ascii="Arial" w:hAnsi="Arial" w:cs="Arial"/>
                <w:sz w:val="21"/>
                <w:szCs w:val="21"/>
                <w:lang w:eastAsia="zh-CN"/>
              </w:rPr>
              <w:t xml:space="preserve">. </w:t>
            </w:r>
          </w:p>
        </w:tc>
      </w:tr>
      <w:tr w:rsidR="00693C6E" w:rsidRPr="00BF5C27" w:rsidTr="00E9144B">
        <w:tc>
          <w:tcPr>
            <w:tcW w:w="1458" w:type="dxa"/>
          </w:tcPr>
          <w:p w:rsidR="00693C6E" w:rsidRPr="00BF5C27" w:rsidRDefault="00693C6E" w:rsidP="00E9144B">
            <w:pPr>
              <w:spacing w:line="280" w:lineRule="exact"/>
              <w:jc w:val="both"/>
              <w:rPr>
                <w:rFonts w:ascii="Arial" w:hAnsi="Arial" w:cs="Arial"/>
                <w:b/>
                <w:sz w:val="21"/>
                <w:szCs w:val="21"/>
              </w:rPr>
            </w:pPr>
            <w:r w:rsidRPr="00BF5C27">
              <w:rPr>
                <w:rFonts w:ascii="Arial" w:hAnsi="Arial" w:cs="Arial"/>
                <w:b/>
                <w:sz w:val="21"/>
                <w:szCs w:val="21"/>
              </w:rPr>
              <w:lastRenderedPageBreak/>
              <w:t>Submission process</w:t>
            </w:r>
          </w:p>
        </w:tc>
        <w:tc>
          <w:tcPr>
            <w:tcW w:w="7784" w:type="dxa"/>
          </w:tcPr>
          <w:p w:rsidR="00693C6E" w:rsidRPr="00BF5C27" w:rsidRDefault="00693C6E" w:rsidP="00E9144B">
            <w:pPr>
              <w:pStyle w:val="a5"/>
              <w:spacing w:line="280" w:lineRule="exact"/>
              <w:ind w:left="72"/>
              <w:jc w:val="both"/>
              <w:rPr>
                <w:rFonts w:ascii="Arial" w:hAnsi="Arial" w:cs="Arial"/>
                <w:sz w:val="21"/>
                <w:szCs w:val="21"/>
                <w:lang w:eastAsia="zh-CN"/>
              </w:rPr>
            </w:pPr>
            <w:r w:rsidRPr="00BF5C27">
              <w:rPr>
                <w:rFonts w:ascii="Arial" w:hAnsi="Arial" w:cs="Arial"/>
                <w:sz w:val="21"/>
                <w:szCs w:val="21"/>
                <w:lang w:eastAsia="zh-CN"/>
              </w:rPr>
              <w:t>There is no need to submit any hard copy of the proposal to T</w:t>
            </w:r>
            <w:r w:rsidRPr="003B7CDE">
              <w:rPr>
                <w:rFonts w:ascii="Arial" w:hAnsi="Arial" w:cs="Arial"/>
                <w:sz w:val="21"/>
                <w:szCs w:val="21"/>
                <w:lang w:eastAsia="zh-CN"/>
              </w:rPr>
              <w:t>Ü</w:t>
            </w:r>
            <w:r w:rsidRPr="00BF5C27">
              <w:rPr>
                <w:rFonts w:ascii="Arial" w:hAnsi="Arial" w:cs="Arial"/>
                <w:sz w:val="21"/>
                <w:szCs w:val="21"/>
                <w:lang w:eastAsia="zh-CN"/>
              </w:rPr>
              <w:t xml:space="preserve">BİTAK. </w:t>
            </w:r>
          </w:p>
          <w:p w:rsidR="00693C6E" w:rsidRPr="00BF5C27" w:rsidRDefault="00693C6E" w:rsidP="00E9144B">
            <w:pPr>
              <w:pStyle w:val="a5"/>
              <w:spacing w:line="280" w:lineRule="exact"/>
              <w:ind w:left="72"/>
              <w:jc w:val="both"/>
              <w:rPr>
                <w:rFonts w:ascii="Arial" w:hAnsi="Arial" w:cs="Arial"/>
                <w:sz w:val="21"/>
                <w:szCs w:val="21"/>
                <w:lang w:eastAsia="zh-CN"/>
              </w:rPr>
            </w:pPr>
            <w:r w:rsidRPr="003B7CDE">
              <w:rPr>
                <w:rFonts w:ascii="Arial" w:hAnsi="Arial" w:cs="Arial"/>
                <w:sz w:val="21"/>
                <w:szCs w:val="21"/>
                <w:lang w:eastAsia="zh-CN"/>
              </w:rPr>
              <w:t xml:space="preserve">For Turkish partners the online system will be closed on </w:t>
            </w:r>
            <w:r>
              <w:rPr>
                <w:rFonts w:ascii="Arial" w:hAnsi="Arial" w:cs="Arial"/>
                <w:sz w:val="21"/>
                <w:szCs w:val="21"/>
                <w:lang w:eastAsia="zh-CN"/>
              </w:rPr>
              <w:t xml:space="preserve">7 August </w:t>
            </w:r>
            <w:r w:rsidRPr="003B7CDE">
              <w:rPr>
                <w:rFonts w:ascii="Arial" w:hAnsi="Arial" w:cs="Arial"/>
                <w:sz w:val="21"/>
                <w:szCs w:val="21"/>
                <w:lang w:eastAsia="zh-CN"/>
              </w:rPr>
              <w:t>2020</w:t>
            </w:r>
            <w:r>
              <w:rPr>
                <w:rFonts w:ascii="Arial" w:hAnsi="Arial" w:cs="Arial"/>
                <w:sz w:val="21"/>
                <w:szCs w:val="21"/>
                <w:lang w:eastAsia="zh-CN"/>
              </w:rPr>
              <w:t>, 17:</w:t>
            </w:r>
            <w:r w:rsidRPr="003B7CDE">
              <w:rPr>
                <w:rFonts w:ascii="Arial" w:hAnsi="Arial" w:cs="Arial"/>
                <w:sz w:val="21"/>
                <w:szCs w:val="21"/>
                <w:lang w:eastAsia="zh-CN"/>
              </w:rPr>
              <w:t>00 (</w:t>
            </w:r>
            <w:r>
              <w:rPr>
                <w:rFonts w:ascii="Arial" w:hAnsi="Arial" w:cs="Arial"/>
                <w:sz w:val="21"/>
                <w:szCs w:val="21"/>
                <w:lang w:eastAsia="zh-CN"/>
              </w:rPr>
              <w:t>Turkish</w:t>
            </w:r>
            <w:r w:rsidRPr="003B7CDE">
              <w:rPr>
                <w:rFonts w:ascii="Arial" w:hAnsi="Arial" w:cs="Arial"/>
                <w:sz w:val="21"/>
                <w:szCs w:val="21"/>
                <w:lang w:eastAsia="zh-CN"/>
              </w:rPr>
              <w:t xml:space="preserve"> Time</w:t>
            </w:r>
            <w:r w:rsidRPr="00BF5C27">
              <w:rPr>
                <w:rFonts w:ascii="Arial" w:hAnsi="Arial" w:cs="Arial"/>
                <w:sz w:val="21"/>
                <w:szCs w:val="21"/>
                <w:lang w:eastAsia="zh-CN"/>
              </w:rPr>
              <w:t>) and they should finalize the E-Signatures until</w:t>
            </w:r>
            <w:r>
              <w:rPr>
                <w:rFonts w:ascii="Arial" w:hAnsi="Arial" w:cs="Arial"/>
                <w:sz w:val="21"/>
                <w:szCs w:val="21"/>
                <w:lang w:eastAsia="zh-CN"/>
              </w:rPr>
              <w:t xml:space="preserve"> 12 August </w:t>
            </w:r>
            <w:r w:rsidRPr="00BF5C27">
              <w:rPr>
                <w:rFonts w:ascii="Arial" w:hAnsi="Arial" w:cs="Arial"/>
                <w:sz w:val="21"/>
                <w:szCs w:val="21"/>
                <w:lang w:eastAsia="zh-CN"/>
              </w:rPr>
              <w:t xml:space="preserve">2020, </w:t>
            </w:r>
            <w:r>
              <w:rPr>
                <w:rFonts w:ascii="Arial" w:hAnsi="Arial" w:cs="Arial"/>
                <w:sz w:val="21"/>
                <w:szCs w:val="21"/>
                <w:lang w:eastAsia="zh-CN"/>
              </w:rPr>
              <w:t>17</w:t>
            </w:r>
            <w:r w:rsidRPr="00BF5C27">
              <w:rPr>
                <w:rFonts w:ascii="Arial" w:hAnsi="Arial" w:cs="Arial"/>
                <w:sz w:val="21"/>
                <w:szCs w:val="21"/>
                <w:lang w:eastAsia="zh-CN"/>
              </w:rPr>
              <w:t>:00 (</w:t>
            </w:r>
            <w:r>
              <w:rPr>
                <w:rFonts w:ascii="Arial" w:hAnsi="Arial" w:cs="Arial"/>
                <w:sz w:val="21"/>
                <w:szCs w:val="21"/>
                <w:lang w:eastAsia="zh-CN"/>
              </w:rPr>
              <w:t>Turkish</w:t>
            </w:r>
            <w:r w:rsidRPr="00BF5C27">
              <w:rPr>
                <w:rFonts w:ascii="Arial" w:hAnsi="Arial" w:cs="Arial"/>
                <w:sz w:val="21"/>
                <w:szCs w:val="21"/>
                <w:lang w:eastAsia="zh-CN"/>
              </w:rPr>
              <w:t xml:space="preserve"> Time).</w:t>
            </w:r>
          </w:p>
        </w:tc>
      </w:tr>
      <w:tr w:rsidR="00693C6E" w:rsidRPr="00BF5C27" w:rsidTr="00E9144B">
        <w:tc>
          <w:tcPr>
            <w:tcW w:w="1458" w:type="dxa"/>
          </w:tcPr>
          <w:p w:rsidR="00693C6E" w:rsidRPr="003B7CDE" w:rsidRDefault="00693C6E" w:rsidP="00E9144B">
            <w:pPr>
              <w:spacing w:line="280" w:lineRule="exact"/>
              <w:jc w:val="both"/>
              <w:rPr>
                <w:rFonts w:ascii="Arial" w:hAnsi="Arial" w:cs="Arial"/>
                <w:b/>
                <w:sz w:val="21"/>
                <w:szCs w:val="21"/>
              </w:rPr>
            </w:pPr>
            <w:r w:rsidRPr="00BF5C27">
              <w:rPr>
                <w:rFonts w:ascii="Arial" w:hAnsi="Arial" w:cs="Arial"/>
                <w:b/>
                <w:sz w:val="21"/>
                <w:szCs w:val="21"/>
              </w:rPr>
              <w:t>Assessment</w:t>
            </w:r>
          </w:p>
        </w:tc>
        <w:tc>
          <w:tcPr>
            <w:tcW w:w="7784" w:type="dxa"/>
          </w:tcPr>
          <w:p w:rsidR="00693C6E" w:rsidRPr="00BF5C27" w:rsidRDefault="00693C6E" w:rsidP="00E9144B">
            <w:pPr>
              <w:spacing w:line="280" w:lineRule="exact"/>
              <w:jc w:val="both"/>
              <w:rPr>
                <w:rFonts w:ascii="Arial" w:hAnsi="Arial" w:cs="Arial"/>
                <w:sz w:val="21"/>
                <w:szCs w:val="21"/>
                <w:lang w:eastAsia="zh-CN"/>
              </w:rPr>
            </w:pPr>
            <w:r w:rsidRPr="003B7CDE">
              <w:rPr>
                <w:rFonts w:ascii="Arial" w:hAnsi="Arial" w:cs="Arial"/>
                <w:sz w:val="21"/>
                <w:szCs w:val="21"/>
                <w:lang w:eastAsia="zh-CN"/>
              </w:rPr>
              <w:t>T</w:t>
            </w:r>
            <w:r w:rsidRPr="00BF5C27">
              <w:rPr>
                <w:rFonts w:ascii="Arial" w:hAnsi="Arial" w:cs="Arial"/>
                <w:sz w:val="21"/>
                <w:szCs w:val="21"/>
                <w:lang w:eastAsia="zh-CN"/>
              </w:rPr>
              <w:t xml:space="preserve">here will be a two stage evaluation process. </w:t>
            </w:r>
          </w:p>
          <w:p w:rsidR="00693C6E" w:rsidRPr="00343127" w:rsidRDefault="00693C6E" w:rsidP="00E9144B">
            <w:pPr>
              <w:spacing w:line="280" w:lineRule="exact"/>
              <w:jc w:val="both"/>
              <w:rPr>
                <w:rFonts w:ascii="Arial" w:hAnsi="Arial" w:cs="Arial"/>
                <w:sz w:val="21"/>
                <w:szCs w:val="21"/>
                <w:lang w:eastAsia="zh-CN"/>
              </w:rPr>
            </w:pPr>
            <w:r w:rsidRPr="00343127">
              <w:rPr>
                <w:rFonts w:ascii="Arial" w:hAnsi="Arial" w:cs="Arial"/>
                <w:sz w:val="21"/>
                <w:szCs w:val="21"/>
                <w:lang w:eastAsia="zh-CN"/>
              </w:rPr>
              <w:t xml:space="preserve">At the first stage, each proposal will be reviewed by 3 peer reviewers. </w:t>
            </w:r>
          </w:p>
          <w:p w:rsidR="00693C6E" w:rsidRPr="00BF5C27" w:rsidRDefault="00693C6E" w:rsidP="00E9144B">
            <w:pPr>
              <w:spacing w:line="280" w:lineRule="exact"/>
              <w:jc w:val="both"/>
              <w:rPr>
                <w:rFonts w:ascii="Arial" w:hAnsi="Arial" w:cs="Arial"/>
                <w:sz w:val="21"/>
                <w:szCs w:val="21"/>
                <w:lang w:eastAsia="zh-CN"/>
              </w:rPr>
            </w:pPr>
            <w:r w:rsidRPr="00343127">
              <w:rPr>
                <w:rFonts w:ascii="Arial" w:hAnsi="Arial" w:cs="Arial"/>
                <w:sz w:val="21"/>
                <w:szCs w:val="21"/>
                <w:lang w:eastAsia="zh-CN"/>
              </w:rPr>
              <w:t>At the second stage, a joint panel will develop a final ranking list of all proposals based on the evaluation results of all funding agencies</w:t>
            </w:r>
            <w:r w:rsidRPr="00BF5C27">
              <w:rPr>
                <w:rFonts w:ascii="Arial" w:hAnsi="Arial" w:cs="Arial"/>
                <w:sz w:val="21"/>
                <w:szCs w:val="21"/>
                <w:lang w:eastAsia="zh-CN"/>
              </w:rPr>
              <w:t xml:space="preserve">.  </w:t>
            </w:r>
          </w:p>
        </w:tc>
      </w:tr>
      <w:tr w:rsidR="00693C6E" w:rsidRPr="00BF5C27" w:rsidTr="00E9144B">
        <w:tc>
          <w:tcPr>
            <w:tcW w:w="1458" w:type="dxa"/>
          </w:tcPr>
          <w:p w:rsidR="00693C6E" w:rsidRPr="003B7CDE" w:rsidRDefault="00693C6E" w:rsidP="00E9144B">
            <w:pPr>
              <w:spacing w:line="280" w:lineRule="exact"/>
              <w:jc w:val="both"/>
              <w:rPr>
                <w:rFonts w:ascii="Arial" w:hAnsi="Arial" w:cs="Arial"/>
                <w:b/>
                <w:sz w:val="21"/>
                <w:szCs w:val="21"/>
              </w:rPr>
            </w:pPr>
            <w:r w:rsidRPr="00BF5C27">
              <w:rPr>
                <w:rFonts w:ascii="Arial" w:hAnsi="Arial" w:cs="Arial"/>
                <w:b/>
                <w:sz w:val="21"/>
                <w:szCs w:val="21"/>
              </w:rPr>
              <w:t>Contact</w:t>
            </w:r>
          </w:p>
        </w:tc>
        <w:tc>
          <w:tcPr>
            <w:tcW w:w="7784" w:type="dxa"/>
          </w:tcPr>
          <w:p w:rsidR="00693C6E" w:rsidRPr="00BF5C27" w:rsidRDefault="00693C6E" w:rsidP="00E9144B">
            <w:pPr>
              <w:spacing w:line="280" w:lineRule="exact"/>
              <w:jc w:val="both"/>
              <w:rPr>
                <w:rFonts w:ascii="Arial" w:hAnsi="Arial" w:cs="Arial"/>
                <w:sz w:val="21"/>
                <w:szCs w:val="21"/>
                <w:lang w:val="tr-TR" w:eastAsia="zh-CN"/>
              </w:rPr>
            </w:pPr>
            <w:r w:rsidRPr="000A1BCE">
              <w:rPr>
                <w:rFonts w:ascii="Arial" w:hAnsi="Arial" w:cs="Arial"/>
                <w:sz w:val="21"/>
                <w:szCs w:val="21"/>
                <w:lang w:val="de-DE" w:eastAsia="zh-CN"/>
              </w:rPr>
              <w:t>G</w:t>
            </w:r>
            <w:r w:rsidRPr="00BF5C27">
              <w:rPr>
                <w:rFonts w:ascii="Arial" w:hAnsi="Arial" w:cs="Arial"/>
                <w:sz w:val="21"/>
                <w:szCs w:val="21"/>
                <w:lang w:val="tr-TR" w:eastAsia="zh-CN"/>
              </w:rPr>
              <w:t>üliz Sütçü, Ph.D</w:t>
            </w:r>
          </w:p>
          <w:p w:rsidR="00693C6E" w:rsidRPr="00BF5C27" w:rsidRDefault="00693C6E" w:rsidP="00E9144B">
            <w:pPr>
              <w:spacing w:line="280" w:lineRule="exact"/>
              <w:jc w:val="both"/>
              <w:rPr>
                <w:rFonts w:ascii="Arial" w:hAnsi="Arial" w:cs="Arial"/>
                <w:sz w:val="21"/>
                <w:szCs w:val="21"/>
                <w:lang w:eastAsia="zh-CN"/>
              </w:rPr>
            </w:pPr>
            <w:r w:rsidRPr="00BF5C27">
              <w:rPr>
                <w:rFonts w:ascii="Arial" w:hAnsi="Arial" w:cs="Arial"/>
                <w:sz w:val="21"/>
                <w:szCs w:val="21"/>
                <w:lang w:eastAsia="zh-CN"/>
              </w:rPr>
              <w:t xml:space="preserve">Email: </w:t>
            </w:r>
            <w:hyperlink r:id="rId12" w:history="1">
              <w:r w:rsidRPr="00BF5C27">
                <w:rPr>
                  <w:rStyle w:val="a7"/>
                  <w:rFonts w:ascii="Arial" w:hAnsi="Arial" w:cs="Arial"/>
                  <w:sz w:val="21"/>
                  <w:szCs w:val="21"/>
                  <w:lang w:eastAsia="zh-CN"/>
                </w:rPr>
                <w:t>guliz.sutcu@tubitak.gov.tr</w:t>
              </w:r>
            </w:hyperlink>
          </w:p>
          <w:p w:rsidR="00693C6E" w:rsidRPr="00BF5C27" w:rsidRDefault="00693C6E" w:rsidP="00E9144B">
            <w:pPr>
              <w:spacing w:line="280" w:lineRule="exact"/>
              <w:jc w:val="both"/>
              <w:rPr>
                <w:rFonts w:ascii="Arial" w:hAnsi="Arial" w:cs="Arial"/>
                <w:sz w:val="21"/>
                <w:szCs w:val="21"/>
                <w:lang w:val="tr-TR" w:eastAsia="zh-CN"/>
              </w:rPr>
            </w:pPr>
            <w:r w:rsidRPr="003B7CDE">
              <w:rPr>
                <w:rFonts w:ascii="Arial" w:hAnsi="Arial" w:cs="Arial"/>
                <w:sz w:val="21"/>
                <w:szCs w:val="21"/>
                <w:lang w:eastAsia="zh-CN"/>
              </w:rPr>
              <w:t>Telephone: +90 312 298 1881</w:t>
            </w:r>
          </w:p>
        </w:tc>
      </w:tr>
    </w:tbl>
    <w:p w:rsidR="00693C6E" w:rsidRPr="001C193C" w:rsidRDefault="00693C6E" w:rsidP="00693C6E">
      <w:pPr>
        <w:rPr>
          <w:rFonts w:ascii="Arial" w:hAnsi="Arial" w:cs="Arial"/>
          <w:sz w:val="21"/>
          <w:szCs w:val="21"/>
        </w:rPr>
      </w:pPr>
    </w:p>
    <w:p w:rsidR="00251312" w:rsidRDefault="00251312"/>
    <w:sectPr w:rsidR="00251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6E" w:rsidRDefault="00693C6E" w:rsidP="00693C6E">
      <w:pPr>
        <w:spacing w:after="0" w:line="240" w:lineRule="auto"/>
      </w:pPr>
      <w:r>
        <w:separator/>
      </w:r>
    </w:p>
  </w:endnote>
  <w:endnote w:type="continuationSeparator" w:id="0">
    <w:p w:rsidR="00693C6E" w:rsidRDefault="00693C6E" w:rsidP="0069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6E" w:rsidRDefault="00693C6E" w:rsidP="00693C6E">
      <w:pPr>
        <w:spacing w:after="0" w:line="240" w:lineRule="auto"/>
      </w:pPr>
      <w:r>
        <w:separator/>
      </w:r>
    </w:p>
  </w:footnote>
  <w:footnote w:type="continuationSeparator" w:id="0">
    <w:p w:rsidR="00693C6E" w:rsidRDefault="00693C6E" w:rsidP="00693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03"/>
    <w:rsid w:val="00016AEA"/>
    <w:rsid w:val="00043E02"/>
    <w:rsid w:val="00045ADD"/>
    <w:rsid w:val="00064941"/>
    <w:rsid w:val="000651DD"/>
    <w:rsid w:val="000D5B39"/>
    <w:rsid w:val="000E1604"/>
    <w:rsid w:val="001026C2"/>
    <w:rsid w:val="00116C38"/>
    <w:rsid w:val="00117B78"/>
    <w:rsid w:val="00140D3A"/>
    <w:rsid w:val="00142FE3"/>
    <w:rsid w:val="0016791B"/>
    <w:rsid w:val="001716E8"/>
    <w:rsid w:val="00180698"/>
    <w:rsid w:val="00192BEB"/>
    <w:rsid w:val="001972B4"/>
    <w:rsid w:val="001B1570"/>
    <w:rsid w:val="001C1AC8"/>
    <w:rsid w:val="001C3CD7"/>
    <w:rsid w:val="001C78C1"/>
    <w:rsid w:val="002052C2"/>
    <w:rsid w:val="00227A4D"/>
    <w:rsid w:val="00236078"/>
    <w:rsid w:val="00237371"/>
    <w:rsid w:val="00240AB7"/>
    <w:rsid w:val="00241FB9"/>
    <w:rsid w:val="00250B03"/>
    <w:rsid w:val="00251312"/>
    <w:rsid w:val="00265D33"/>
    <w:rsid w:val="002875C6"/>
    <w:rsid w:val="00291545"/>
    <w:rsid w:val="00293490"/>
    <w:rsid w:val="002A5D7B"/>
    <w:rsid w:val="002A7ED8"/>
    <w:rsid w:val="002C723E"/>
    <w:rsid w:val="002D1DAB"/>
    <w:rsid w:val="002E7990"/>
    <w:rsid w:val="002F2985"/>
    <w:rsid w:val="0032128E"/>
    <w:rsid w:val="00322954"/>
    <w:rsid w:val="00331B7E"/>
    <w:rsid w:val="0033334E"/>
    <w:rsid w:val="003509C5"/>
    <w:rsid w:val="0035148E"/>
    <w:rsid w:val="00361368"/>
    <w:rsid w:val="00366D5B"/>
    <w:rsid w:val="0036792A"/>
    <w:rsid w:val="003744EC"/>
    <w:rsid w:val="00390B83"/>
    <w:rsid w:val="003A2AB3"/>
    <w:rsid w:val="003A351E"/>
    <w:rsid w:val="003A59C3"/>
    <w:rsid w:val="003A7321"/>
    <w:rsid w:val="003C2234"/>
    <w:rsid w:val="003D1613"/>
    <w:rsid w:val="003D29DA"/>
    <w:rsid w:val="003F3E35"/>
    <w:rsid w:val="00414988"/>
    <w:rsid w:val="00423A58"/>
    <w:rsid w:val="00440658"/>
    <w:rsid w:val="004513C9"/>
    <w:rsid w:val="00467AE9"/>
    <w:rsid w:val="004779FE"/>
    <w:rsid w:val="00480FB5"/>
    <w:rsid w:val="00484BB5"/>
    <w:rsid w:val="004866EE"/>
    <w:rsid w:val="004873FC"/>
    <w:rsid w:val="004C53D8"/>
    <w:rsid w:val="00500667"/>
    <w:rsid w:val="00503E0C"/>
    <w:rsid w:val="0051313C"/>
    <w:rsid w:val="0051329D"/>
    <w:rsid w:val="00516404"/>
    <w:rsid w:val="005210A2"/>
    <w:rsid w:val="0052548C"/>
    <w:rsid w:val="00540524"/>
    <w:rsid w:val="00583615"/>
    <w:rsid w:val="00584BFE"/>
    <w:rsid w:val="00586FFC"/>
    <w:rsid w:val="00595C08"/>
    <w:rsid w:val="005A04C2"/>
    <w:rsid w:val="005A49E8"/>
    <w:rsid w:val="005A5B3E"/>
    <w:rsid w:val="005B4220"/>
    <w:rsid w:val="005B4658"/>
    <w:rsid w:val="005C0CC6"/>
    <w:rsid w:val="005F0892"/>
    <w:rsid w:val="005F2C73"/>
    <w:rsid w:val="005F3BA3"/>
    <w:rsid w:val="00603469"/>
    <w:rsid w:val="00614127"/>
    <w:rsid w:val="006218FE"/>
    <w:rsid w:val="00641891"/>
    <w:rsid w:val="00652AEC"/>
    <w:rsid w:val="00652DAD"/>
    <w:rsid w:val="00655B47"/>
    <w:rsid w:val="00661F08"/>
    <w:rsid w:val="00670FDC"/>
    <w:rsid w:val="006729D7"/>
    <w:rsid w:val="00676565"/>
    <w:rsid w:val="006822C2"/>
    <w:rsid w:val="00693C6E"/>
    <w:rsid w:val="0069513F"/>
    <w:rsid w:val="006A1C15"/>
    <w:rsid w:val="006E37B4"/>
    <w:rsid w:val="006F1C96"/>
    <w:rsid w:val="00716A97"/>
    <w:rsid w:val="00740E94"/>
    <w:rsid w:val="00742DAD"/>
    <w:rsid w:val="007533C5"/>
    <w:rsid w:val="0075411B"/>
    <w:rsid w:val="007541F1"/>
    <w:rsid w:val="00765362"/>
    <w:rsid w:val="0078421A"/>
    <w:rsid w:val="007912D9"/>
    <w:rsid w:val="007A5910"/>
    <w:rsid w:val="007E7587"/>
    <w:rsid w:val="007F03A8"/>
    <w:rsid w:val="007F1692"/>
    <w:rsid w:val="007F5F1B"/>
    <w:rsid w:val="00861041"/>
    <w:rsid w:val="00867973"/>
    <w:rsid w:val="00882AF7"/>
    <w:rsid w:val="008B41DC"/>
    <w:rsid w:val="008B7641"/>
    <w:rsid w:val="008D5E4F"/>
    <w:rsid w:val="008E6545"/>
    <w:rsid w:val="00903BC7"/>
    <w:rsid w:val="00912A8E"/>
    <w:rsid w:val="00913413"/>
    <w:rsid w:val="00914DB2"/>
    <w:rsid w:val="00933444"/>
    <w:rsid w:val="00934F9C"/>
    <w:rsid w:val="0094159D"/>
    <w:rsid w:val="00947A70"/>
    <w:rsid w:val="00956D6B"/>
    <w:rsid w:val="00965629"/>
    <w:rsid w:val="009711BF"/>
    <w:rsid w:val="00982245"/>
    <w:rsid w:val="00983637"/>
    <w:rsid w:val="009915E0"/>
    <w:rsid w:val="00997461"/>
    <w:rsid w:val="009B45C9"/>
    <w:rsid w:val="009B55FC"/>
    <w:rsid w:val="009C6F92"/>
    <w:rsid w:val="00A028B7"/>
    <w:rsid w:val="00A26E54"/>
    <w:rsid w:val="00A47CFB"/>
    <w:rsid w:val="00A53BD3"/>
    <w:rsid w:val="00A74502"/>
    <w:rsid w:val="00AA6301"/>
    <w:rsid w:val="00AC0944"/>
    <w:rsid w:val="00AC78C8"/>
    <w:rsid w:val="00AE041E"/>
    <w:rsid w:val="00AE32DB"/>
    <w:rsid w:val="00AE6120"/>
    <w:rsid w:val="00B10E20"/>
    <w:rsid w:val="00B27673"/>
    <w:rsid w:val="00B47DE4"/>
    <w:rsid w:val="00B545B0"/>
    <w:rsid w:val="00B676D5"/>
    <w:rsid w:val="00B70483"/>
    <w:rsid w:val="00B759C5"/>
    <w:rsid w:val="00B83847"/>
    <w:rsid w:val="00B970D7"/>
    <w:rsid w:val="00BE13CF"/>
    <w:rsid w:val="00BF658F"/>
    <w:rsid w:val="00C057D4"/>
    <w:rsid w:val="00C27803"/>
    <w:rsid w:val="00C3066F"/>
    <w:rsid w:val="00C42EB8"/>
    <w:rsid w:val="00C50FF3"/>
    <w:rsid w:val="00C54688"/>
    <w:rsid w:val="00C57B58"/>
    <w:rsid w:val="00C57BEA"/>
    <w:rsid w:val="00C63428"/>
    <w:rsid w:val="00C77B17"/>
    <w:rsid w:val="00C84AEF"/>
    <w:rsid w:val="00C87256"/>
    <w:rsid w:val="00C93DD5"/>
    <w:rsid w:val="00CB5ABF"/>
    <w:rsid w:val="00CC112A"/>
    <w:rsid w:val="00CC11AE"/>
    <w:rsid w:val="00CC2E9B"/>
    <w:rsid w:val="00CC6471"/>
    <w:rsid w:val="00D07DA1"/>
    <w:rsid w:val="00D1651C"/>
    <w:rsid w:val="00D23463"/>
    <w:rsid w:val="00D2700B"/>
    <w:rsid w:val="00D34665"/>
    <w:rsid w:val="00D44BD7"/>
    <w:rsid w:val="00D5255B"/>
    <w:rsid w:val="00D57132"/>
    <w:rsid w:val="00DC13E8"/>
    <w:rsid w:val="00DC4918"/>
    <w:rsid w:val="00DC6A93"/>
    <w:rsid w:val="00DD2AD7"/>
    <w:rsid w:val="00DD3D7D"/>
    <w:rsid w:val="00DE7F2B"/>
    <w:rsid w:val="00E07743"/>
    <w:rsid w:val="00E109A6"/>
    <w:rsid w:val="00E172CF"/>
    <w:rsid w:val="00E23390"/>
    <w:rsid w:val="00E30E7D"/>
    <w:rsid w:val="00E4459A"/>
    <w:rsid w:val="00E44663"/>
    <w:rsid w:val="00E46A4E"/>
    <w:rsid w:val="00E61EA1"/>
    <w:rsid w:val="00E64B04"/>
    <w:rsid w:val="00E6750A"/>
    <w:rsid w:val="00E75078"/>
    <w:rsid w:val="00E80C0C"/>
    <w:rsid w:val="00EA07C7"/>
    <w:rsid w:val="00EF1E96"/>
    <w:rsid w:val="00F045EB"/>
    <w:rsid w:val="00F13C70"/>
    <w:rsid w:val="00F24FB4"/>
    <w:rsid w:val="00F30E6C"/>
    <w:rsid w:val="00F32C5C"/>
    <w:rsid w:val="00F51892"/>
    <w:rsid w:val="00F650D2"/>
    <w:rsid w:val="00F67075"/>
    <w:rsid w:val="00F81BD5"/>
    <w:rsid w:val="00F84A73"/>
    <w:rsid w:val="00F86A31"/>
    <w:rsid w:val="00F879DB"/>
    <w:rsid w:val="00F96302"/>
    <w:rsid w:val="00F9716A"/>
    <w:rsid w:val="00FB717D"/>
    <w:rsid w:val="00FF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6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3C6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693C6E"/>
    <w:rPr>
      <w:sz w:val="18"/>
      <w:szCs w:val="18"/>
    </w:rPr>
  </w:style>
  <w:style w:type="paragraph" w:styleId="a4">
    <w:name w:val="footer"/>
    <w:basedOn w:val="a"/>
    <w:link w:val="Char0"/>
    <w:uiPriority w:val="99"/>
    <w:unhideWhenUsed/>
    <w:rsid w:val="00693C6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693C6E"/>
    <w:rPr>
      <w:sz w:val="18"/>
      <w:szCs w:val="18"/>
    </w:rPr>
  </w:style>
  <w:style w:type="paragraph" w:styleId="a5">
    <w:name w:val="List Paragraph"/>
    <w:basedOn w:val="a"/>
    <w:uiPriority w:val="34"/>
    <w:qFormat/>
    <w:rsid w:val="00693C6E"/>
    <w:pPr>
      <w:ind w:left="720"/>
      <w:contextualSpacing/>
    </w:pPr>
  </w:style>
  <w:style w:type="table" w:styleId="a6">
    <w:name w:val="Table Grid"/>
    <w:basedOn w:val="a1"/>
    <w:uiPriority w:val="59"/>
    <w:rsid w:val="00693C6E"/>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93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6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3C6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693C6E"/>
    <w:rPr>
      <w:sz w:val="18"/>
      <w:szCs w:val="18"/>
    </w:rPr>
  </w:style>
  <w:style w:type="paragraph" w:styleId="a4">
    <w:name w:val="footer"/>
    <w:basedOn w:val="a"/>
    <w:link w:val="Char0"/>
    <w:uiPriority w:val="99"/>
    <w:unhideWhenUsed/>
    <w:rsid w:val="00693C6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693C6E"/>
    <w:rPr>
      <w:sz w:val="18"/>
      <w:szCs w:val="18"/>
    </w:rPr>
  </w:style>
  <w:style w:type="paragraph" w:styleId="a5">
    <w:name w:val="List Paragraph"/>
    <w:basedOn w:val="a"/>
    <w:uiPriority w:val="34"/>
    <w:qFormat/>
    <w:rsid w:val="00693C6E"/>
    <w:pPr>
      <w:ind w:left="720"/>
      <w:contextualSpacing/>
    </w:pPr>
  </w:style>
  <w:style w:type="table" w:styleId="a6">
    <w:name w:val="Table Grid"/>
    <w:basedOn w:val="a1"/>
    <w:uiPriority w:val="59"/>
    <w:rsid w:val="00693C6E"/>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93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sites/default/files/3125/1071_arastirma_projeleri_surec_dokuman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bitak.gov.tr/sites/default/files/3125/1071_arastirma_projeleri_surec_dokumani.pdf" TargetMode="External"/><Relationship Id="rId12" Type="http://schemas.openxmlformats.org/officeDocument/2006/relationships/hyperlink" Target="mailto:guliz.sutcu@tubitak.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ubitak.gov.tr/sites/default/files/281/ardeb_e-imza_yardim_dokumani.pdf" TargetMode="External"/><Relationship Id="rId5" Type="http://schemas.openxmlformats.org/officeDocument/2006/relationships/footnotes" Target="footnotes.xml"/><Relationship Id="rId10" Type="http://schemas.openxmlformats.org/officeDocument/2006/relationships/hyperlink" Target="http://uidb-pbs.tubitak.gov.tr" TargetMode="External"/><Relationship Id="rId4" Type="http://schemas.openxmlformats.org/officeDocument/2006/relationships/webSettings" Target="webSettings.xml"/><Relationship Id="rId9" Type="http://schemas.openxmlformats.org/officeDocument/2006/relationships/hyperlink" Target="https://www.tubitak.gov.tr/sites/default/files/3125/1071_arastirma_projeleri_surec_dokumani.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徐进(xujin)</dc:creator>
  <cp:keywords/>
  <dc:description/>
  <cp:lastModifiedBy>徐进(xujin)</cp:lastModifiedBy>
  <cp:revision>2</cp:revision>
  <dcterms:created xsi:type="dcterms:W3CDTF">2020-06-15T07:19:00Z</dcterms:created>
  <dcterms:modified xsi:type="dcterms:W3CDTF">2020-06-15T07:19:00Z</dcterms:modified>
</cp:coreProperties>
</file>