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eastAsia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业务楼外窗更换工程预选施工单位</w:t>
      </w:r>
    </w:p>
    <w:p>
      <w:pPr>
        <w:pStyle w:val="2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评审办法</w:t>
      </w:r>
    </w:p>
    <w:p>
      <w:pPr>
        <w:rPr>
          <w:rFonts w:hint="eastAsia"/>
          <w:lang w:eastAsia="zh-CN"/>
        </w:rPr>
      </w:pPr>
    </w:p>
    <w:p>
      <w:pPr>
        <w:tabs>
          <w:tab w:val="left" w:pos="840"/>
          <w:tab w:val="left" w:pos="1785"/>
        </w:tabs>
        <w:spacing w:line="360" w:lineRule="auto"/>
        <w:ind w:right="-239"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评审分为两个部分，一是必要合格条件部分的评审，主要评审</w:t>
      </w:r>
      <w:r>
        <w:rPr>
          <w:rFonts w:hint="eastAsia" w:ascii="宋体" w:hAnsi="宋体"/>
          <w:sz w:val="28"/>
          <w:szCs w:val="28"/>
          <w:u w:val="single"/>
        </w:rPr>
        <w:t>附表1《必要合格条件标准》</w:t>
      </w:r>
      <w:r>
        <w:rPr>
          <w:rFonts w:hint="eastAsia" w:ascii="宋体" w:hAnsi="宋体"/>
          <w:sz w:val="28"/>
          <w:szCs w:val="28"/>
        </w:rPr>
        <w:t>所列内容的符合性，即是对供应商法定投标资格的评审，主要是审查供应商是否符合法律、法规和规章对企业资质规定的资格条件和其他强制性标准，是否处于正常的生产经营状态等情况，任何一项评审项目不合格即可拒绝其投标申请。二是附加条件的评审，主要评审</w:t>
      </w:r>
      <w:r>
        <w:rPr>
          <w:rFonts w:hint="eastAsia" w:ascii="宋体" w:hAnsi="宋体"/>
          <w:sz w:val="28"/>
          <w:szCs w:val="28"/>
          <w:u w:val="single"/>
        </w:rPr>
        <w:t>附表2《附加条件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评分</w:t>
      </w:r>
      <w:r>
        <w:rPr>
          <w:rFonts w:hint="eastAsia" w:ascii="宋体" w:hAnsi="宋体"/>
          <w:sz w:val="28"/>
          <w:szCs w:val="28"/>
          <w:u w:val="single"/>
        </w:rPr>
        <w:t>标准》</w:t>
      </w:r>
      <w:r>
        <w:rPr>
          <w:rFonts w:hint="eastAsia" w:ascii="宋体" w:hAnsi="宋体"/>
          <w:sz w:val="28"/>
          <w:szCs w:val="28"/>
        </w:rPr>
        <w:t>所列内容，对通过必要性合格评审的供应商，通过评分的方法进行附加性合格评审。</w:t>
      </w:r>
    </w:p>
    <w:p>
      <w:pPr>
        <w:tabs>
          <w:tab w:val="left" w:pos="840"/>
          <w:tab w:val="left" w:pos="1785"/>
        </w:tabs>
        <w:spacing w:line="360" w:lineRule="auto"/>
        <w:ind w:right="-239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本次招标限制供应商数为</w:t>
      </w:r>
      <w:r>
        <w:rPr>
          <w:rFonts w:hint="eastAsia" w:ascii="宋体" w:hAnsi="宋体"/>
          <w:sz w:val="28"/>
          <w:szCs w:val="28"/>
          <w:u w:val="single"/>
        </w:rPr>
        <w:t xml:space="preserve">  3  </w:t>
      </w:r>
      <w:r>
        <w:rPr>
          <w:rFonts w:hint="eastAsia" w:ascii="宋体" w:hAnsi="宋体"/>
          <w:sz w:val="28"/>
          <w:szCs w:val="28"/>
        </w:rPr>
        <w:t>家。当满足资格预审条件的供应商多于</w:t>
      </w:r>
      <w:r>
        <w:rPr>
          <w:rFonts w:hint="eastAsia" w:ascii="宋体" w:hAnsi="宋体"/>
          <w:sz w:val="28"/>
          <w:szCs w:val="28"/>
          <w:u w:val="single"/>
        </w:rPr>
        <w:t xml:space="preserve"> 3 </w:t>
      </w:r>
      <w:r>
        <w:rPr>
          <w:rFonts w:hint="eastAsia" w:ascii="宋体" w:hAnsi="宋体"/>
          <w:sz w:val="28"/>
          <w:szCs w:val="28"/>
        </w:rPr>
        <w:t>家时，</w:t>
      </w:r>
      <w:r>
        <w:rPr>
          <w:rFonts w:hint="eastAsia" w:ascii="宋体" w:hAnsi="宋体"/>
          <w:sz w:val="28"/>
          <w:szCs w:val="28"/>
          <w:lang w:eastAsia="zh-CN"/>
        </w:rPr>
        <w:t>国家自然科学基金委员会机关服务中心采购小组</w:t>
      </w:r>
      <w:r>
        <w:rPr>
          <w:rFonts w:hint="eastAsia" w:ascii="宋体" w:hAnsi="宋体"/>
          <w:sz w:val="28"/>
          <w:szCs w:val="28"/>
        </w:rPr>
        <w:t>将取</w:t>
      </w:r>
      <w:r>
        <w:rPr>
          <w:rFonts w:hint="eastAsia" w:ascii="宋体" w:hAnsi="宋体"/>
          <w:sz w:val="28"/>
          <w:szCs w:val="28"/>
          <w:lang w:eastAsia="zh-CN"/>
        </w:rPr>
        <w:t>在</w:t>
      </w:r>
      <w:r>
        <w:rPr>
          <w:rFonts w:hint="eastAsia" w:ascii="宋体" w:hAnsi="宋体"/>
          <w:sz w:val="28"/>
          <w:szCs w:val="28"/>
        </w:rPr>
        <w:t>附加</w:t>
      </w:r>
      <w:r>
        <w:rPr>
          <w:rFonts w:hint="eastAsia" w:ascii="宋体" w:hAnsi="宋体"/>
          <w:sz w:val="28"/>
          <w:szCs w:val="28"/>
          <w:lang w:eastAsia="zh-CN"/>
        </w:rPr>
        <w:t>条件</w:t>
      </w:r>
      <w:r>
        <w:rPr>
          <w:rFonts w:hint="eastAsia" w:ascii="宋体" w:hAnsi="宋体"/>
          <w:sz w:val="28"/>
          <w:szCs w:val="28"/>
        </w:rPr>
        <w:t>标准</w:t>
      </w:r>
      <w:r>
        <w:rPr>
          <w:rFonts w:hint="eastAsia" w:ascii="宋体" w:hAnsi="宋体"/>
          <w:sz w:val="28"/>
          <w:szCs w:val="28"/>
          <w:lang w:eastAsia="zh-CN"/>
        </w:rPr>
        <w:t>中</w:t>
      </w:r>
      <w:r>
        <w:rPr>
          <w:rFonts w:hint="eastAsia" w:ascii="宋体" w:hAnsi="宋体"/>
          <w:sz w:val="28"/>
          <w:szCs w:val="28"/>
        </w:rPr>
        <w:t>得分较高的前</w:t>
      </w:r>
      <w:r>
        <w:rPr>
          <w:rFonts w:hint="eastAsia" w:ascii="宋体" w:hAnsi="宋体"/>
          <w:sz w:val="28"/>
          <w:szCs w:val="28"/>
          <w:u w:val="single"/>
        </w:rPr>
        <w:t xml:space="preserve"> 3 </w:t>
      </w:r>
      <w:r>
        <w:rPr>
          <w:rFonts w:hint="eastAsia" w:ascii="宋体" w:hAnsi="宋体"/>
          <w:sz w:val="28"/>
          <w:szCs w:val="28"/>
        </w:rPr>
        <w:t>家作为合格投标人。</w:t>
      </w:r>
    </w:p>
    <w:p>
      <w:pPr>
        <w:tabs>
          <w:tab w:val="left" w:pos="840"/>
          <w:tab w:val="left" w:pos="1785"/>
        </w:tabs>
        <w:spacing w:line="360" w:lineRule="auto"/>
        <w:ind w:right="-239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p>
      <w:pPr>
        <w:tabs>
          <w:tab w:val="left" w:pos="840"/>
          <w:tab w:val="left" w:pos="1785"/>
        </w:tabs>
        <w:spacing w:line="360" w:lineRule="auto"/>
        <w:ind w:right="-239" w:firstLine="3360" w:firstLineChars="1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国家自然科学基金委员会机关服务中心</w:t>
      </w:r>
    </w:p>
    <w:p>
      <w:pPr>
        <w:tabs>
          <w:tab w:val="left" w:pos="840"/>
          <w:tab w:val="left" w:pos="1785"/>
        </w:tabs>
        <w:spacing w:line="360" w:lineRule="auto"/>
        <w:ind w:right="-239" w:firstLine="4200" w:firstLineChars="15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2019年6月20日</w:t>
      </w:r>
    </w:p>
    <w:p>
      <w:pPr>
        <w:spacing w:line="360" w:lineRule="auto"/>
        <w:rPr>
          <w:rFonts w:hint="eastAsia" w:ascii="仿宋_GB2312" w:eastAsia="仿宋_GB2312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tabs>
          <w:tab w:val="left" w:pos="180"/>
          <w:tab w:val="left" w:pos="6090"/>
        </w:tabs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附表1    必要合格条件标准</w:t>
      </w:r>
    </w:p>
    <w:tbl>
      <w:tblPr>
        <w:tblStyle w:val="4"/>
        <w:tblW w:w="91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08"/>
        <w:gridCol w:w="3402"/>
        <w:gridCol w:w="31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项目内容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合格条件</w:t>
            </w:r>
          </w:p>
        </w:tc>
        <w:tc>
          <w:tcPr>
            <w:tcW w:w="31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供应商具备的条件或说明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有效营业执照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有效的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需提供执照复印件并加盖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企业资质等级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在“2018-2020年度中央国家机关工程定点企业”名单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  <w:szCs w:val="24"/>
              </w:rPr>
              <w:t>建筑装修装饰工程专业承包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目录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不须提供证明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安全生产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许可证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有效期内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需提供证书复印件并加盖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同类项目业绩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年（201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年6月至今）内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至少</w:t>
            </w:r>
            <w:r>
              <w:rPr>
                <w:rFonts w:hint="eastAsia" w:ascii="宋体" w:hAnsi="宋体"/>
                <w:sz w:val="24"/>
                <w:lang w:eastAsia="zh-CN"/>
              </w:rPr>
              <w:t>含有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  <w:szCs w:val="24"/>
              </w:rPr>
              <w:t>外窗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安装施工</w:t>
            </w:r>
            <w:r>
              <w:rPr>
                <w:rFonts w:hint="eastAsia" w:ascii="宋体" w:hAnsi="宋体"/>
                <w:sz w:val="24"/>
                <w:szCs w:val="24"/>
              </w:rPr>
              <w:t>项目业绩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（面积不小于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500平方米以上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证明材料附合同或中标通知书的复印件加盖单位公章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企业经营状况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没有处于被责令停业，投标资格被取消，财产被接管、冻结，破产状态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需提供加盖单位公章和法定代表人签字或盖章的承诺书证明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财务状况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投标人须提供最近连续三年（201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年-201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年），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经第三方审计的财务审计报告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需提供加盖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宋体" w:hAnsi="宋体"/>
                <w:sz w:val="24"/>
                <w:szCs w:val="24"/>
              </w:rPr>
              <w:t>单位公章和法定代表人签字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履约情况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没有骗取中标和严重违约及重大工程质量问题</w:t>
            </w:r>
          </w:p>
        </w:tc>
        <w:tc>
          <w:tcPr>
            <w:tcW w:w="318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需提供加盖单位公章和法定代表人签字或盖章的承诺书证明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z w:val="32"/>
        </w:rPr>
      </w:pPr>
    </w:p>
    <w:p>
      <w:pPr>
        <w:tabs>
          <w:tab w:val="left" w:pos="180"/>
          <w:tab w:val="left" w:pos="6090"/>
        </w:tabs>
        <w:spacing w:line="320" w:lineRule="exac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hint="eastAsia" w:ascii="宋体" w:hAnsi="宋体"/>
          <w:b/>
          <w:sz w:val="24"/>
          <w:szCs w:val="24"/>
        </w:rPr>
        <w:t>附表2  附加条件</w:t>
      </w:r>
      <w:r>
        <w:rPr>
          <w:rFonts w:hint="eastAsia" w:ascii="宋体" w:hAnsi="宋体"/>
          <w:b/>
          <w:sz w:val="24"/>
          <w:szCs w:val="24"/>
          <w:lang w:eastAsia="zh-CN"/>
        </w:rPr>
        <w:t>评分</w:t>
      </w:r>
      <w:r>
        <w:rPr>
          <w:rFonts w:hint="eastAsia" w:ascii="宋体" w:hAnsi="宋体"/>
          <w:b/>
          <w:sz w:val="24"/>
          <w:szCs w:val="24"/>
        </w:rPr>
        <w:t>标准</w:t>
      </w:r>
    </w:p>
    <w:tbl>
      <w:tblPr>
        <w:tblStyle w:val="4"/>
        <w:tblW w:w="8997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143"/>
        <w:gridCol w:w="1390"/>
        <w:gridCol w:w="1483"/>
        <w:gridCol w:w="3740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评分项目(标准分)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评分分项目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分项目子项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评分标准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4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企业组织机构人员情况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企业组织机构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</w:t>
            </w:r>
            <w:r>
              <w:rPr>
                <w:rFonts w:hint="eastAsia" w:ascii="宋体" w:hAnsi="宋体"/>
              </w:rPr>
              <w:t>岗位设置全面</w:t>
            </w:r>
            <w:r>
              <w:rPr>
                <w:rFonts w:hint="eastAsia" w:ascii="宋体" w:hAnsi="宋体"/>
                <w:lang w:eastAsia="zh-CN"/>
              </w:rPr>
              <w:t>得</w:t>
            </w:r>
            <w:r>
              <w:rPr>
                <w:rFonts w:hint="eastAsia" w:ascii="宋体" w:hAnsi="宋体"/>
              </w:rPr>
              <w:t>8～10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hint="eastAsia" w:ascii="宋体" w:hAnsi="宋体"/>
              </w:rPr>
              <w:t>，较全面</w:t>
            </w:r>
            <w:r>
              <w:rPr>
                <w:rFonts w:hint="eastAsia" w:ascii="宋体" w:hAnsi="宋体"/>
                <w:lang w:eastAsia="zh-CN"/>
              </w:rPr>
              <w:t>得</w:t>
            </w:r>
            <w:r>
              <w:rPr>
                <w:rFonts w:hint="eastAsia" w:ascii="宋体" w:hAnsi="宋体"/>
              </w:rPr>
              <w:t>4～7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hint="eastAsia" w:ascii="宋体" w:hAnsi="宋体"/>
              </w:rPr>
              <w:t>，不够全面0～3</w:t>
            </w:r>
            <w:r>
              <w:rPr>
                <w:rFonts w:hint="eastAsia" w:ascii="宋体" w:hAnsi="宋体"/>
                <w:lang w:eastAsia="zh-CN"/>
              </w:rPr>
              <w:t>分。</w:t>
            </w:r>
          </w:p>
          <w:p>
            <w:pPr>
              <w:pStyle w:val="3"/>
              <w:spacing w:line="30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岗位包括但不限于：财务、质检、经营、工程、预算等部门。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9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拟投入本项目人员构成（20分）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构成情况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人员构成合理，证件齐全。</w:t>
            </w:r>
            <w:r>
              <w:rPr>
                <w:rFonts w:hint="eastAsia" w:ascii="宋体" w:hAnsi="宋体"/>
                <w:lang w:eastAsia="zh-CN"/>
              </w:rPr>
              <w:t>项目经理、质量员、安全员等</w:t>
            </w:r>
            <w:r>
              <w:rPr>
                <w:rFonts w:hint="eastAsia" w:ascii="宋体" w:hAnsi="宋体"/>
              </w:rPr>
              <w:t>上岗证书，</w:t>
            </w:r>
            <w:r>
              <w:rPr>
                <w:rFonts w:hint="eastAsia" w:ascii="宋体" w:hAnsi="宋体"/>
                <w:lang w:eastAsia="zh-CN"/>
              </w:rPr>
              <w:t>每一项</w:t>
            </w:r>
            <w:r>
              <w:rPr>
                <w:rFonts w:hint="eastAsia" w:ascii="宋体" w:hAnsi="宋体"/>
              </w:rPr>
              <w:t>得3分，最多1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分。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54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9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每有一位</w:t>
            </w:r>
            <w:r>
              <w:rPr>
                <w:rFonts w:hint="eastAsia" w:ascii="宋体" w:hAnsi="宋体"/>
              </w:rPr>
              <w:t>中</w:t>
            </w:r>
            <w:r>
              <w:rPr>
                <w:rFonts w:hint="eastAsia" w:ascii="宋体" w:hAnsi="宋体"/>
                <w:lang w:eastAsia="zh-CN"/>
              </w:rPr>
              <w:t>、高</w:t>
            </w:r>
            <w:r>
              <w:rPr>
                <w:rFonts w:hint="eastAsia" w:ascii="宋体" w:hAnsi="宋体"/>
              </w:rPr>
              <w:t>级</w:t>
            </w:r>
            <w:r>
              <w:rPr>
                <w:rFonts w:hint="eastAsia" w:ascii="宋体" w:hAnsi="宋体"/>
                <w:lang w:eastAsia="zh-CN"/>
              </w:rPr>
              <w:t>技术</w:t>
            </w:r>
            <w:r>
              <w:rPr>
                <w:rFonts w:hint="eastAsia" w:ascii="宋体" w:hAnsi="宋体"/>
              </w:rPr>
              <w:t>职称</w:t>
            </w:r>
            <w:r>
              <w:rPr>
                <w:rFonts w:hint="eastAsia" w:ascii="宋体" w:hAnsi="宋体"/>
                <w:lang w:eastAsia="zh-CN"/>
              </w:rPr>
              <w:t>管理人员</w:t>
            </w:r>
            <w:r>
              <w:rPr>
                <w:rFonts w:hint="eastAsia" w:ascii="宋体" w:hAnsi="宋体"/>
              </w:rPr>
              <w:t>得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hint="eastAsia" w:ascii="宋体" w:hAnsi="宋体"/>
                <w:lang w:eastAsia="zh-CN"/>
              </w:rPr>
              <w:t>，最多得</w:t>
            </w:r>
            <w:r>
              <w:rPr>
                <w:rFonts w:hint="eastAsia" w:ascii="宋体" w:hAnsi="宋体"/>
                <w:lang w:val="en-US" w:eastAsia="zh-CN"/>
              </w:rPr>
              <w:t>8分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0-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企业管理体系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质量</w:t>
            </w:r>
            <w:r>
              <w:rPr>
                <w:rFonts w:hint="eastAsia" w:ascii="宋体" w:hAnsi="宋体"/>
                <w:lang w:eastAsia="zh-CN"/>
              </w:rPr>
              <w:t>管理</w:t>
            </w:r>
            <w:r>
              <w:rPr>
                <w:rFonts w:hint="eastAsia" w:ascii="宋体" w:hAnsi="宋体"/>
              </w:rPr>
              <w:t>体系、环境保护管理体系、职业健康安全</w:t>
            </w:r>
            <w:r>
              <w:rPr>
                <w:rFonts w:hint="eastAsia" w:ascii="宋体" w:hAnsi="宋体"/>
                <w:lang w:eastAsia="zh-CN"/>
              </w:rPr>
              <w:t>管理</w:t>
            </w:r>
            <w:r>
              <w:rPr>
                <w:rFonts w:hint="eastAsia" w:ascii="宋体" w:hAnsi="宋体"/>
              </w:rPr>
              <w:t>体系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是否有认证，且在有效期内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三项全有，得</w:t>
            </w:r>
            <w:r>
              <w:rPr>
                <w:rFonts w:hint="eastAsia" w:ascii="宋体" w:hAnsi="宋体"/>
                <w:lang w:val="en-US" w:eastAsia="zh-CN"/>
              </w:rPr>
              <w:t>12分，</w:t>
            </w:r>
            <w:r>
              <w:rPr>
                <w:rFonts w:hint="eastAsia" w:ascii="宋体" w:hAnsi="宋体"/>
              </w:rPr>
              <w:t>每有一项得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分。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0-1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企业业绩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48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近三年</w:t>
            </w:r>
          </w:p>
          <w:p>
            <w:pPr>
              <w:pStyle w:val="3"/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同类</w:t>
            </w:r>
            <w:r>
              <w:rPr>
                <w:rFonts w:hint="eastAsia" w:ascii="宋体" w:hAnsi="宋体"/>
                <w:lang w:eastAsia="zh-CN"/>
              </w:rPr>
              <w:t>业绩</w:t>
            </w:r>
            <w:r>
              <w:rPr>
                <w:rFonts w:hint="eastAsia" w:ascii="宋体" w:hAnsi="宋体"/>
              </w:rPr>
              <w:t>项目</w:t>
            </w:r>
            <w:r>
              <w:rPr>
                <w:rFonts w:hint="eastAsia" w:ascii="宋体" w:hAnsi="宋体"/>
                <w:lang w:val="en-US" w:eastAsia="zh-CN"/>
              </w:rPr>
              <w:t>(包括工程项目中含有外窗施工项目)</w:t>
            </w: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最近三年（2016年6月至今）</w:t>
            </w:r>
            <w:r>
              <w:rPr>
                <w:rFonts w:hint="eastAsia" w:ascii="宋体" w:hAnsi="宋体"/>
              </w:rPr>
              <w:t>相关证明文件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default" w:ascii="宋体" w:hAnsi="宋体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每</w:t>
            </w: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ascii="宋体" w:hAnsi="宋体"/>
                <w:lang w:eastAsia="zh-CN"/>
              </w:rPr>
              <w:t>外窗安装项目</w:t>
            </w:r>
            <w:r>
              <w:rPr>
                <w:rFonts w:hint="eastAsia" w:ascii="宋体" w:hAnsi="宋体"/>
              </w:rPr>
              <w:t>业绩</w:t>
            </w:r>
            <w:r>
              <w:rPr>
                <w:rFonts w:hint="eastAsia" w:ascii="宋体" w:hAnsi="宋体"/>
                <w:lang w:eastAsia="zh-CN"/>
              </w:rPr>
              <w:t>最高分为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hint="eastAsia" w:ascii="宋体" w:hAnsi="宋体"/>
                <w:lang w:eastAsia="zh-CN"/>
              </w:rPr>
              <w:t>，最低</w:t>
            </w:r>
            <w:r>
              <w:rPr>
                <w:rFonts w:hint="eastAsia" w:ascii="宋体" w:hAnsi="宋体"/>
                <w:lang w:val="en-US" w:eastAsia="zh-CN"/>
              </w:rPr>
              <w:t>500（含）平方米项目记分，得2分，1000（含）平方米得4分，1500（含）平方米得6分，2000（含）中间面积用插入法计算分数。最多3个项目计分。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宋体" w:hAnsi="宋体" w:eastAsia="宋体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宋体" w:hAnsi="宋体"/>
              </w:rPr>
              <w:t>0-</w:t>
            </w:r>
            <w:r>
              <w:rPr>
                <w:rFonts w:hint="eastAsia" w:ascii="宋体" w:hAnsi="宋体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企业诉讼</w:t>
            </w:r>
          </w:p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分）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</w:t>
            </w:r>
            <w:r>
              <w:rPr>
                <w:rFonts w:hint="eastAsia" w:ascii="宋体" w:hAnsi="宋体"/>
                <w:lang w:eastAsia="zh-CN"/>
              </w:rPr>
              <w:t>在</w:t>
            </w:r>
            <w:r>
              <w:rPr>
                <w:rFonts w:hint="eastAsia" w:ascii="宋体" w:hAnsi="宋体"/>
              </w:rPr>
              <w:t>近三年</w:t>
            </w:r>
            <w:r>
              <w:rPr>
                <w:rFonts w:hint="eastAsia" w:ascii="宋体" w:hAnsi="宋体"/>
                <w:lang w:eastAsia="zh-CN"/>
              </w:rPr>
              <w:t>中，</w:t>
            </w:r>
            <w:r>
              <w:rPr>
                <w:rFonts w:hint="eastAsia" w:ascii="宋体" w:hAnsi="宋体"/>
              </w:rPr>
              <w:t>诉讼情况</w:t>
            </w:r>
          </w:p>
          <w:p>
            <w:pPr>
              <w:pStyle w:val="3"/>
              <w:spacing w:line="3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48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承诺函</w:t>
            </w:r>
          </w:p>
        </w:tc>
        <w:tc>
          <w:tcPr>
            <w:tcW w:w="37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无</w:t>
            </w:r>
            <w:r>
              <w:rPr>
                <w:rFonts w:hint="eastAsia" w:ascii="宋体" w:hAnsi="宋体"/>
                <w:lang w:eastAsia="zh-CN"/>
              </w:rPr>
              <w:t>工程质量问题的</w:t>
            </w:r>
            <w:r>
              <w:rPr>
                <w:rFonts w:hint="eastAsia" w:ascii="宋体" w:hAnsi="宋体"/>
              </w:rPr>
              <w:t>诉讼得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分。有诉讼且有1起败诉</w:t>
            </w:r>
            <w:r>
              <w:rPr>
                <w:rFonts w:hint="eastAsia" w:ascii="宋体" w:hAnsi="宋体"/>
                <w:lang w:eastAsia="zh-CN"/>
              </w:rPr>
              <w:t>扣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hint="eastAsia" w:ascii="宋体" w:hAnsi="宋体"/>
                <w:lang w:val="en-US" w:eastAsia="zh-CN"/>
              </w:rPr>
              <w:t>，有2起</w:t>
            </w:r>
            <w:r>
              <w:rPr>
                <w:rFonts w:hint="eastAsia" w:ascii="宋体" w:hAnsi="宋体"/>
              </w:rPr>
              <w:t>诉讼</w:t>
            </w:r>
            <w:r>
              <w:rPr>
                <w:rFonts w:hint="eastAsia" w:ascii="宋体" w:hAnsi="宋体"/>
                <w:lang w:eastAsia="zh-CN"/>
              </w:rPr>
              <w:t>且</w:t>
            </w:r>
            <w:r>
              <w:rPr>
                <w:rFonts w:hint="eastAsia" w:ascii="宋体" w:hAnsi="宋体"/>
              </w:rPr>
              <w:t>败诉</w:t>
            </w:r>
            <w:r>
              <w:rPr>
                <w:rFonts w:hint="eastAsia" w:ascii="宋体" w:hAnsi="宋体"/>
                <w:lang w:eastAsia="zh-CN"/>
              </w:rPr>
              <w:t>不得分。</w:t>
            </w:r>
          </w:p>
          <w:p>
            <w:pPr>
              <w:pStyle w:val="3"/>
              <w:spacing w:line="300" w:lineRule="exact"/>
              <w:rPr>
                <w:rFonts w:hint="eastAsia" w:ascii="宋体" w:hAnsi="宋体"/>
                <w:lang w:eastAsia="zh-CN"/>
              </w:rPr>
            </w:pPr>
          </w:p>
          <w:p>
            <w:pPr>
              <w:pStyle w:val="3"/>
              <w:spacing w:line="30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无拖欠农民工工资的</w:t>
            </w:r>
            <w:r>
              <w:rPr>
                <w:rFonts w:hint="eastAsia" w:ascii="宋体" w:hAnsi="宋体"/>
              </w:rPr>
              <w:t>诉讼得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分</w:t>
            </w:r>
            <w:r>
              <w:rPr>
                <w:rFonts w:hint="eastAsia" w:ascii="宋体" w:hAnsi="宋体"/>
                <w:lang w:val="en-US" w:eastAsia="zh-CN"/>
              </w:rPr>
              <w:t>,有1起</w:t>
            </w:r>
            <w:r>
              <w:rPr>
                <w:rFonts w:hint="eastAsia" w:ascii="宋体" w:hAnsi="宋体"/>
              </w:rPr>
              <w:t>诉讼</w:t>
            </w:r>
            <w:r>
              <w:rPr>
                <w:rFonts w:hint="eastAsia" w:ascii="宋体" w:hAnsi="宋体"/>
                <w:lang w:eastAsia="zh-CN"/>
              </w:rPr>
              <w:t>且</w:t>
            </w:r>
            <w:r>
              <w:rPr>
                <w:rFonts w:hint="eastAsia" w:ascii="宋体" w:hAnsi="宋体"/>
              </w:rPr>
              <w:t>败诉</w:t>
            </w:r>
            <w:r>
              <w:rPr>
                <w:rFonts w:hint="eastAsia" w:ascii="宋体" w:hAnsi="宋体"/>
                <w:lang w:eastAsia="zh-CN"/>
              </w:rPr>
              <w:t>扣</w:t>
            </w:r>
            <w:r>
              <w:rPr>
                <w:rFonts w:hint="eastAsia" w:ascii="宋体" w:hAnsi="宋体"/>
                <w:lang w:val="en-US" w:eastAsia="zh-CN"/>
              </w:rPr>
              <w:t>3分，有2起</w:t>
            </w:r>
            <w:r>
              <w:rPr>
                <w:rFonts w:hint="eastAsia" w:ascii="宋体" w:hAnsi="宋体"/>
              </w:rPr>
              <w:t>诉讼</w:t>
            </w:r>
            <w:r>
              <w:rPr>
                <w:rFonts w:hint="eastAsia" w:ascii="宋体" w:hAnsi="宋体"/>
                <w:lang w:eastAsia="zh-CN"/>
              </w:rPr>
              <w:t>且</w:t>
            </w:r>
            <w:r>
              <w:rPr>
                <w:rFonts w:hint="eastAsia" w:ascii="宋体" w:hAnsi="宋体"/>
              </w:rPr>
              <w:t>败诉</w:t>
            </w:r>
            <w:r>
              <w:rPr>
                <w:rFonts w:hint="eastAsia" w:ascii="宋体" w:hAnsi="宋体"/>
                <w:lang w:eastAsia="zh-CN"/>
              </w:rPr>
              <w:t>不得分。</w:t>
            </w:r>
          </w:p>
          <w:p>
            <w:pPr>
              <w:pStyle w:val="3"/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0-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33CC"/>
    <w:rsid w:val="4EE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2019-06-19T07:09:00Z</dcterms:created>
  <dc:creator>澎湃</dc:creator>
  <cp:lastModifiedBy>澎湃</cp:lastModifiedBy>
  <dcterms:modified xsi:type="dcterms:W3CDTF">2019-06-19T07:10:22Z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